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9AE60" w14:textId="77777777" w:rsidR="00A43741" w:rsidRDefault="00A43741" w:rsidP="00A43741">
      <w:pPr>
        <w:pStyle w:val="3"/>
        <w:rPr>
          <w:color w:val="auto"/>
        </w:rPr>
      </w:pPr>
      <w:r>
        <w:rPr>
          <w:rFonts w:eastAsia="Arial"/>
          <w:color w:val="auto"/>
        </w:rPr>
        <w:t>Приложение 1</w:t>
      </w:r>
    </w:p>
    <w:p w14:paraId="77137B41" w14:textId="77777777" w:rsidR="00A43741" w:rsidRDefault="00A43741" w:rsidP="00A43741">
      <w:pPr>
        <w:pStyle w:val="TableName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Таблица 1. Базовые характеристики </w:t>
      </w:r>
      <w:r w:rsidRPr="008A1E61">
        <w:rPr>
          <w:rFonts w:eastAsia="Calibri"/>
          <w:color w:val="auto"/>
        </w:rPr>
        <w:t>статей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01"/>
        <w:gridCol w:w="3599"/>
        <w:gridCol w:w="3650"/>
      </w:tblGrid>
      <w:tr w:rsidR="00A43741" w14:paraId="74AEE117" w14:textId="77777777" w:rsidTr="00BD4B79">
        <w:tc>
          <w:tcPr>
            <w:tcW w:w="14565" w:type="dxa"/>
            <w:gridSpan w:val="3"/>
          </w:tcPr>
          <w:p w14:paraId="416C5969" w14:textId="77777777" w:rsidR="00A43741" w:rsidRDefault="00A43741" w:rsidP="00BD4B79">
            <w:pPr>
              <w:pStyle w:val="TableCenter"/>
              <w:rPr>
                <w:rFonts w:eastAsia="Calibri"/>
                <w:b/>
                <w:bCs/>
                <w:color w:val="auto"/>
                <w:sz w:val="16"/>
              </w:rPr>
            </w:pPr>
            <w:r>
              <w:rPr>
                <w:rFonts w:eastAsia="Calibri"/>
                <w:b/>
                <w:bCs/>
                <w:color w:val="auto"/>
                <w:sz w:val="16"/>
              </w:rPr>
              <w:t>2023</w:t>
            </w:r>
          </w:p>
        </w:tc>
      </w:tr>
      <w:tr w:rsidR="00A43741" w14:paraId="32CE3174" w14:textId="77777777" w:rsidTr="00BD4B79">
        <w:trPr>
          <w:trHeight w:val="150"/>
        </w:trPr>
        <w:tc>
          <w:tcPr>
            <w:tcW w:w="2835" w:type="dxa"/>
          </w:tcPr>
          <w:p w14:paraId="73FE2849" w14:textId="77777777" w:rsidR="00A43741" w:rsidRDefault="00A43741" w:rsidP="00BD4B79">
            <w:pPr>
              <w:pStyle w:val="TableLeft"/>
              <w:rPr>
                <w:rFonts w:eastAsia="Calibri"/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Первый автор</w:t>
            </w:r>
          </w:p>
        </w:tc>
        <w:tc>
          <w:tcPr>
            <w:tcW w:w="5670" w:type="dxa"/>
          </w:tcPr>
          <w:p w14:paraId="785C7F50" w14:textId="77777777" w:rsidR="00A43741" w:rsidRDefault="00A43741" w:rsidP="00BD4B79">
            <w:pPr>
              <w:pStyle w:val="TableLeft"/>
              <w:jc w:val="center"/>
              <w:rPr>
                <w:rFonts w:eastAsia="Calibri"/>
                <w:b/>
                <w:color w:val="auto"/>
                <w:sz w:val="16"/>
              </w:rPr>
            </w:pPr>
            <w:r>
              <w:rPr>
                <w:b/>
                <w:color w:val="auto"/>
                <w:sz w:val="16"/>
                <w:lang w:val="en-US"/>
              </w:rPr>
              <w:t>Franzese</w:t>
            </w:r>
            <w:r>
              <w:rPr>
                <w:b/>
                <w:color w:val="auto"/>
                <w:sz w:val="16"/>
              </w:rPr>
              <w:t xml:space="preserve"> С.</w:t>
            </w:r>
          </w:p>
        </w:tc>
        <w:tc>
          <w:tcPr>
            <w:tcW w:w="6060" w:type="dxa"/>
          </w:tcPr>
          <w:p w14:paraId="0F8D1794" w14:textId="77777777" w:rsidR="00A43741" w:rsidRDefault="00A43741" w:rsidP="00BD4B79">
            <w:pPr>
              <w:pStyle w:val="TableLeft"/>
              <w:jc w:val="center"/>
              <w:rPr>
                <w:rFonts w:eastAsia="Calibri"/>
                <w:b/>
                <w:color w:val="auto"/>
                <w:sz w:val="16"/>
              </w:rPr>
            </w:pPr>
            <w:proofErr w:type="spellStart"/>
            <w:r>
              <w:rPr>
                <w:b/>
                <w:color w:val="auto"/>
                <w:sz w:val="16"/>
              </w:rPr>
              <w:t>Zhao</w:t>
            </w:r>
            <w:proofErr w:type="spellEnd"/>
            <w:r>
              <w:rPr>
                <w:b/>
                <w:color w:val="auto"/>
                <w:sz w:val="16"/>
              </w:rPr>
              <w:t xml:space="preserve"> X.</w:t>
            </w:r>
          </w:p>
        </w:tc>
      </w:tr>
      <w:tr w:rsidR="00A43741" w:rsidRPr="00A43741" w14:paraId="51374A2E" w14:textId="77777777" w:rsidTr="00BD4B79">
        <w:tc>
          <w:tcPr>
            <w:tcW w:w="2835" w:type="dxa"/>
          </w:tcPr>
          <w:p w14:paraId="2B4BFAD2" w14:textId="77777777" w:rsidR="00A43741" w:rsidRDefault="00A43741" w:rsidP="00BD4B79">
            <w:pPr>
              <w:pStyle w:val="TableLeft"/>
              <w:rPr>
                <w:rFonts w:eastAsia="Calibri"/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Название статьи</w:t>
            </w:r>
          </w:p>
        </w:tc>
        <w:tc>
          <w:tcPr>
            <w:tcW w:w="5670" w:type="dxa"/>
          </w:tcPr>
          <w:p w14:paraId="1CE20F4D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r>
              <w:rPr>
                <w:rFonts w:eastAsia="Calibri"/>
                <w:color w:val="auto"/>
                <w:sz w:val="16"/>
                <w:lang w:val="en-US"/>
              </w:rPr>
              <w:t>Predictive value of clinical and radiomic features for radiation therapy response in patients with lymph node-positive head and neck cancer</w:t>
            </w:r>
          </w:p>
        </w:tc>
        <w:tc>
          <w:tcPr>
            <w:tcW w:w="6060" w:type="dxa"/>
          </w:tcPr>
          <w:p w14:paraId="2771BB9D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r>
              <w:rPr>
                <w:rFonts w:eastAsia="Calibri"/>
                <w:color w:val="auto"/>
                <w:sz w:val="16"/>
                <w:lang w:val="en-US"/>
              </w:rPr>
              <w:t>Radiomics analysis of CT imaging improves preoperative prediction of cervical lymph node metastasis in laryngeal squamous cell carcinoma</w:t>
            </w:r>
          </w:p>
        </w:tc>
      </w:tr>
      <w:tr w:rsidR="00A43741" w14:paraId="23DFB488" w14:textId="77777777" w:rsidTr="00BD4B79">
        <w:tc>
          <w:tcPr>
            <w:tcW w:w="2835" w:type="dxa"/>
          </w:tcPr>
          <w:p w14:paraId="51259FE0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Журнал, импакт-фактор</w:t>
            </w:r>
          </w:p>
        </w:tc>
        <w:tc>
          <w:tcPr>
            <w:tcW w:w="5670" w:type="dxa"/>
          </w:tcPr>
          <w:p w14:paraId="2B73340F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r>
              <w:rPr>
                <w:rFonts w:eastAsia="Calibri"/>
                <w:color w:val="auto"/>
                <w:sz w:val="16"/>
                <w:lang w:val="en-US"/>
              </w:rPr>
              <w:t xml:space="preserve">Head &amp; Neck, </w:t>
            </w:r>
            <w:r>
              <w:rPr>
                <w:rFonts w:eastAsia="Calibri"/>
                <w:color w:val="auto"/>
                <w:sz w:val="16"/>
              </w:rPr>
              <w:t>3.821</w:t>
            </w:r>
          </w:p>
        </w:tc>
        <w:tc>
          <w:tcPr>
            <w:tcW w:w="6060" w:type="dxa"/>
          </w:tcPr>
          <w:p w14:paraId="7DA0FB90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r>
              <w:rPr>
                <w:rFonts w:eastAsia="Calibri"/>
                <w:color w:val="auto"/>
                <w:sz w:val="16"/>
                <w:lang w:val="en-US"/>
              </w:rPr>
              <w:t>European Radiology, 6.020</w:t>
            </w:r>
          </w:p>
        </w:tc>
      </w:tr>
      <w:tr w:rsidR="00A43741" w14:paraId="59D117DE" w14:textId="77777777" w:rsidTr="00BD4B79">
        <w:tc>
          <w:tcPr>
            <w:tcW w:w="2835" w:type="dxa"/>
          </w:tcPr>
          <w:p w14:paraId="581D8A90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Страна исследования</w:t>
            </w:r>
          </w:p>
        </w:tc>
        <w:tc>
          <w:tcPr>
            <w:tcW w:w="5670" w:type="dxa"/>
          </w:tcPr>
          <w:p w14:paraId="0059A942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r>
              <w:rPr>
                <w:rFonts w:eastAsia="Calibri"/>
                <w:color w:val="auto"/>
                <w:sz w:val="16"/>
              </w:rPr>
              <w:t>Италия</w:t>
            </w:r>
          </w:p>
        </w:tc>
        <w:tc>
          <w:tcPr>
            <w:tcW w:w="6060" w:type="dxa"/>
          </w:tcPr>
          <w:p w14:paraId="0ABEEE85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proofErr w:type="spellStart"/>
            <w:r>
              <w:rPr>
                <w:rFonts w:eastAsia="Calibri"/>
                <w:color w:val="auto"/>
                <w:sz w:val="16"/>
                <w:lang w:val="en-US"/>
              </w:rPr>
              <w:t>Китай</w:t>
            </w:r>
            <w:proofErr w:type="spellEnd"/>
          </w:p>
        </w:tc>
      </w:tr>
      <w:tr w:rsidR="00A43741" w14:paraId="01947500" w14:textId="77777777" w:rsidTr="00BD4B79">
        <w:tc>
          <w:tcPr>
            <w:tcW w:w="2835" w:type="dxa"/>
          </w:tcPr>
          <w:p w14:paraId="458D86AA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Цель исследования</w:t>
            </w:r>
          </w:p>
        </w:tc>
        <w:tc>
          <w:tcPr>
            <w:tcW w:w="5670" w:type="dxa"/>
          </w:tcPr>
          <w:p w14:paraId="61740F4F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Разработка </w:t>
            </w:r>
            <w:proofErr w:type="spellStart"/>
            <w:r>
              <w:rPr>
                <w:rFonts w:eastAsia="Calibri"/>
                <w:color w:val="auto"/>
                <w:sz w:val="16"/>
              </w:rPr>
              <w:t>радиомических</w:t>
            </w:r>
            <w:proofErr w:type="spellEnd"/>
            <w:r>
              <w:rPr>
                <w:rFonts w:eastAsia="Calibri"/>
                <w:color w:val="auto"/>
                <w:sz w:val="16"/>
              </w:rPr>
              <w:t xml:space="preserve"> и клинических моделей, способных прогнозировать выживаемость и ответ на лечение с использованием данных КТ до лечения метастатических ЛУ и клинических переменных пациентов с раком головы и шей, подвергнутых окончательной лучевой терапии </w:t>
            </w:r>
          </w:p>
        </w:tc>
        <w:tc>
          <w:tcPr>
            <w:tcW w:w="6060" w:type="dxa"/>
          </w:tcPr>
          <w:p w14:paraId="3C7C2496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Изучить роль КТ-</w:t>
            </w:r>
            <w:proofErr w:type="spellStart"/>
            <w:r>
              <w:rPr>
                <w:rFonts w:eastAsia="Calibri"/>
                <w:color w:val="auto"/>
                <w:sz w:val="16"/>
              </w:rPr>
              <w:t>радиомики</w:t>
            </w:r>
            <w:proofErr w:type="spellEnd"/>
            <w:r>
              <w:rPr>
                <w:rFonts w:eastAsia="Calibri"/>
                <w:color w:val="auto"/>
                <w:sz w:val="16"/>
              </w:rPr>
              <w:t xml:space="preserve"> для предоперационного прогнозирования метастазов в ЛУ при плоскоклеточном раке гортани </w:t>
            </w:r>
          </w:p>
        </w:tc>
      </w:tr>
      <w:tr w:rsidR="00A43741" w14:paraId="2F7DA8D1" w14:textId="77777777" w:rsidTr="00BD4B79">
        <w:tc>
          <w:tcPr>
            <w:tcW w:w="2835" w:type="dxa"/>
          </w:tcPr>
          <w:p w14:paraId="375920B2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Дизайн</w:t>
            </w:r>
          </w:p>
        </w:tc>
        <w:tc>
          <w:tcPr>
            <w:tcW w:w="5670" w:type="dxa"/>
          </w:tcPr>
          <w:p w14:paraId="71482022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r>
              <w:rPr>
                <w:rFonts w:eastAsia="Calibri"/>
                <w:color w:val="auto"/>
                <w:sz w:val="16"/>
              </w:rPr>
              <w:t xml:space="preserve">Ретроспективное, </w:t>
            </w:r>
            <w:proofErr w:type="spellStart"/>
            <w:r>
              <w:rPr>
                <w:rFonts w:eastAsia="Calibri"/>
                <w:color w:val="auto"/>
                <w:sz w:val="16"/>
              </w:rPr>
              <w:t>одноцентровое</w:t>
            </w:r>
            <w:proofErr w:type="spellEnd"/>
          </w:p>
        </w:tc>
        <w:tc>
          <w:tcPr>
            <w:tcW w:w="6060" w:type="dxa"/>
          </w:tcPr>
          <w:p w14:paraId="7705AAFD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  <w:lang w:val="en-US"/>
              </w:rPr>
            </w:pPr>
            <w:proofErr w:type="spellStart"/>
            <w:r>
              <w:rPr>
                <w:rFonts w:eastAsia="Calibri"/>
                <w:color w:val="auto"/>
                <w:sz w:val="16"/>
                <w:lang w:val="en-US"/>
              </w:rPr>
              <w:t>Ретроспективное</w:t>
            </w:r>
            <w:proofErr w:type="spellEnd"/>
            <w:r>
              <w:rPr>
                <w:rFonts w:eastAsia="Calibri"/>
                <w:color w:val="auto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color w:val="auto"/>
                <w:sz w:val="16"/>
                <w:lang w:val="en-US"/>
              </w:rPr>
              <w:t>одноцентровое</w:t>
            </w:r>
            <w:proofErr w:type="spellEnd"/>
          </w:p>
        </w:tc>
      </w:tr>
      <w:tr w:rsidR="00A43741" w14:paraId="1FF4E059" w14:textId="77777777" w:rsidTr="00BD4B79">
        <w:tc>
          <w:tcPr>
            <w:tcW w:w="2835" w:type="dxa"/>
          </w:tcPr>
          <w:p w14:paraId="02C22BFA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Критерии включения</w:t>
            </w:r>
          </w:p>
        </w:tc>
        <w:tc>
          <w:tcPr>
            <w:tcW w:w="5670" w:type="dxa"/>
          </w:tcPr>
          <w:p w14:paraId="6E1DC553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Гистологически подтверждённые плоскоклеточные карциномы с метастатическими ЛУ, определёнными рентгенологически и/или с помощью цитологии, представленные для окончательной лучевой терапии/компьютерной лучевой терапии, с рабочим статусом Восточной кооперативной онкологической </w:t>
            </w:r>
            <w:proofErr w:type="gramStart"/>
            <w:r>
              <w:rPr>
                <w:rFonts w:eastAsia="Calibri"/>
                <w:color w:val="auto"/>
                <w:sz w:val="16"/>
              </w:rPr>
              <w:t>группы  ≤</w:t>
            </w:r>
            <w:proofErr w:type="gramEnd"/>
            <w:r>
              <w:rPr>
                <w:rFonts w:eastAsia="Calibri"/>
                <w:color w:val="auto"/>
                <w:sz w:val="16"/>
              </w:rPr>
              <w:t>2 и минимальным периодом наблюдения 6 месяцев</w:t>
            </w:r>
          </w:p>
        </w:tc>
        <w:tc>
          <w:tcPr>
            <w:tcW w:w="6060" w:type="dxa"/>
          </w:tcPr>
          <w:p w14:paraId="0727E124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Пациенты с патологически подтверждённым плоскоклеточным раком гортани, перенесшие открытую операцию с </w:t>
            </w:r>
            <w:proofErr w:type="spellStart"/>
            <w:r>
              <w:rPr>
                <w:rFonts w:eastAsia="Calibri"/>
                <w:color w:val="auto"/>
                <w:sz w:val="16"/>
              </w:rPr>
              <w:t>лимфаденэктомией</w:t>
            </w:r>
            <w:proofErr w:type="spellEnd"/>
            <w:r>
              <w:rPr>
                <w:rFonts w:eastAsia="Calibri"/>
                <w:color w:val="auto"/>
                <w:sz w:val="16"/>
              </w:rPr>
              <w:t xml:space="preserve"> в </w:t>
            </w:r>
            <w:proofErr w:type="spellStart"/>
            <w:r>
              <w:rPr>
                <w:rFonts w:eastAsia="Calibri"/>
                <w:color w:val="auto"/>
                <w:sz w:val="16"/>
                <w:lang w:val="en-US"/>
              </w:rPr>
              <w:t>Qilu</w:t>
            </w:r>
            <w:proofErr w:type="spellEnd"/>
            <w:r>
              <w:rPr>
                <w:rFonts w:eastAsia="Calibri"/>
                <w:color w:val="auto"/>
                <w:sz w:val="16"/>
              </w:rPr>
              <w:t xml:space="preserve"> </w:t>
            </w:r>
            <w:r>
              <w:rPr>
                <w:rFonts w:eastAsia="Calibri"/>
                <w:color w:val="auto"/>
                <w:sz w:val="16"/>
                <w:lang w:val="en-US"/>
              </w:rPr>
              <w:t>Hospital</w:t>
            </w:r>
          </w:p>
        </w:tc>
      </w:tr>
      <w:tr w:rsidR="00A43741" w14:paraId="39F6BCF7" w14:textId="77777777" w:rsidTr="00BD4B79">
        <w:tc>
          <w:tcPr>
            <w:tcW w:w="2835" w:type="dxa"/>
          </w:tcPr>
          <w:p w14:paraId="104F67A3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Критерии исключения</w:t>
            </w:r>
          </w:p>
        </w:tc>
        <w:tc>
          <w:tcPr>
            <w:tcW w:w="5670" w:type="dxa"/>
          </w:tcPr>
          <w:p w14:paraId="51479F9F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1) Ранее была проведена операция или облучение;</w:t>
            </w:r>
          </w:p>
          <w:p w14:paraId="43C37492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2) Заболевание было метастатическим в начале;</w:t>
            </w:r>
          </w:p>
          <w:p w14:paraId="3C5BEEC3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3) Металлические артефакты КТ изменили рентгенологическую область ЛУ</w:t>
            </w:r>
          </w:p>
        </w:tc>
        <w:tc>
          <w:tcPr>
            <w:tcW w:w="6060" w:type="dxa"/>
          </w:tcPr>
          <w:p w14:paraId="2DE393FF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1) отсутствие КТ с контрастным усилением в учреждении;</w:t>
            </w:r>
          </w:p>
          <w:p w14:paraId="0EB1595C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2) предыдущее лечение гортани хирургическим вмешательством или химиолучевой терапией;</w:t>
            </w:r>
          </w:p>
          <w:p w14:paraId="44BDC8FB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3) КТ-изображение более чем за 2 недели до операции или </w:t>
            </w:r>
            <w:proofErr w:type="spellStart"/>
            <w:r>
              <w:rPr>
                <w:rFonts w:eastAsia="Calibri"/>
                <w:color w:val="auto"/>
                <w:sz w:val="16"/>
              </w:rPr>
              <w:t>субоптимальное</w:t>
            </w:r>
            <w:proofErr w:type="spellEnd"/>
            <w:r>
              <w:rPr>
                <w:rFonts w:eastAsia="Calibri"/>
                <w:color w:val="auto"/>
                <w:sz w:val="16"/>
              </w:rPr>
              <w:t xml:space="preserve"> качество изображения;</w:t>
            </w:r>
          </w:p>
          <w:p w14:paraId="3FD4259E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4) невидимая опухоль в анамнезе КТ;</w:t>
            </w:r>
          </w:p>
          <w:p w14:paraId="48B3EF78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5) </w:t>
            </w:r>
            <w:proofErr w:type="spellStart"/>
            <w:r>
              <w:rPr>
                <w:rFonts w:eastAsia="Calibri"/>
                <w:color w:val="auto"/>
                <w:sz w:val="16"/>
              </w:rPr>
              <w:t>подсвязочный</w:t>
            </w:r>
            <w:proofErr w:type="spellEnd"/>
            <w:r>
              <w:rPr>
                <w:rFonts w:eastAsia="Calibri"/>
                <w:color w:val="auto"/>
                <w:sz w:val="16"/>
              </w:rPr>
              <w:t xml:space="preserve"> рак из-за нехватки диагностированных случаев</w:t>
            </w:r>
          </w:p>
        </w:tc>
      </w:tr>
      <w:tr w:rsidR="00A43741" w14:paraId="75FEFD6C" w14:textId="77777777" w:rsidTr="00BD4B79">
        <w:tc>
          <w:tcPr>
            <w:tcW w:w="2835" w:type="dxa"/>
          </w:tcPr>
          <w:p w14:paraId="49BC188F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Общее число пациентов; средний возраст (лет); доля женщин (%)</w:t>
            </w:r>
          </w:p>
        </w:tc>
        <w:tc>
          <w:tcPr>
            <w:tcW w:w="5670" w:type="dxa"/>
          </w:tcPr>
          <w:p w14:paraId="50071511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106; </w:t>
            </w:r>
            <w:r>
              <w:rPr>
                <w:rFonts w:eastAsia="Calibri"/>
                <w:color w:val="auto"/>
                <w:sz w:val="16"/>
                <w:lang w:val="en-US"/>
              </w:rPr>
              <w:t>63; 27%</w:t>
            </w:r>
          </w:p>
        </w:tc>
        <w:tc>
          <w:tcPr>
            <w:tcW w:w="6060" w:type="dxa"/>
          </w:tcPr>
          <w:p w14:paraId="3AC01554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  <w:lang w:val="en-US"/>
              </w:rPr>
              <w:t>464; 59,74</w:t>
            </w:r>
            <w:r>
              <w:rPr>
                <w:rFonts w:eastAsia="Calibri"/>
                <w:color w:val="auto"/>
                <w:sz w:val="16"/>
              </w:rPr>
              <w:t>–</w:t>
            </w:r>
            <w:r>
              <w:rPr>
                <w:rFonts w:eastAsia="Calibri"/>
                <w:color w:val="auto"/>
                <w:sz w:val="16"/>
                <w:lang w:val="en-US"/>
              </w:rPr>
              <w:t xml:space="preserve">62,61 </w:t>
            </w:r>
            <w:proofErr w:type="spellStart"/>
            <w:r>
              <w:rPr>
                <w:rFonts w:eastAsia="Calibri"/>
                <w:color w:val="auto"/>
                <w:sz w:val="16"/>
                <w:lang w:val="en-US"/>
              </w:rPr>
              <w:t>для</w:t>
            </w:r>
            <w:proofErr w:type="spellEnd"/>
            <w:r>
              <w:rPr>
                <w:rFonts w:eastAsia="Calibri"/>
                <w:color w:val="auto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sz w:val="16"/>
                <w:lang w:val="en-US"/>
              </w:rPr>
              <w:t>разных</w:t>
            </w:r>
            <w:proofErr w:type="spellEnd"/>
            <w:r>
              <w:rPr>
                <w:rFonts w:eastAsia="Calibri"/>
                <w:color w:val="auto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  <w:sz w:val="16"/>
                <w:lang w:val="en-US"/>
              </w:rPr>
              <w:t>когорт</w:t>
            </w:r>
            <w:proofErr w:type="spellEnd"/>
            <w:r>
              <w:rPr>
                <w:rFonts w:eastAsia="Calibri"/>
                <w:color w:val="auto"/>
                <w:sz w:val="16"/>
                <w:lang w:val="en-US"/>
              </w:rPr>
              <w:t>; 4</w:t>
            </w:r>
            <w:r>
              <w:rPr>
                <w:rFonts w:eastAsia="Calibri"/>
                <w:color w:val="auto"/>
                <w:sz w:val="16"/>
              </w:rPr>
              <w:t>–</w:t>
            </w:r>
            <w:r>
              <w:rPr>
                <w:rFonts w:eastAsia="Calibri"/>
                <w:color w:val="auto"/>
                <w:sz w:val="16"/>
                <w:lang w:val="en-US"/>
              </w:rPr>
              <w:t>6%</w:t>
            </w:r>
          </w:p>
        </w:tc>
      </w:tr>
      <w:tr w:rsidR="00A43741" w14:paraId="134D4EFE" w14:textId="77777777" w:rsidTr="00BD4B79">
        <w:tc>
          <w:tcPr>
            <w:tcW w:w="2835" w:type="dxa"/>
          </w:tcPr>
          <w:p w14:paraId="524D0421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Положение и тип исследуемых новообразований</w:t>
            </w:r>
          </w:p>
        </w:tc>
        <w:tc>
          <w:tcPr>
            <w:tcW w:w="5670" w:type="dxa"/>
          </w:tcPr>
          <w:p w14:paraId="6FA45567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ЛУ ротоглотки, носоглотки, гортаноглотки, гортани, полости рта; плоскоклеточный рак головы и шеи </w:t>
            </w:r>
          </w:p>
        </w:tc>
        <w:tc>
          <w:tcPr>
            <w:tcW w:w="6060" w:type="dxa"/>
          </w:tcPr>
          <w:p w14:paraId="0E6D5472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Метастазы в шейных ЛУ; плоскоклеточный рак гортани </w:t>
            </w:r>
          </w:p>
        </w:tc>
      </w:tr>
      <w:tr w:rsidR="00A43741" w14:paraId="24775F2C" w14:textId="77777777" w:rsidTr="00BD4B79">
        <w:tc>
          <w:tcPr>
            <w:tcW w:w="2835" w:type="dxa"/>
          </w:tcPr>
          <w:p w14:paraId="17DC14E2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Число извлечённых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5670" w:type="dxa"/>
          </w:tcPr>
          <w:p w14:paraId="7119D4D3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39</w:t>
            </w:r>
          </w:p>
        </w:tc>
        <w:tc>
          <w:tcPr>
            <w:tcW w:w="6060" w:type="dxa"/>
          </w:tcPr>
          <w:p w14:paraId="0706A1BC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960</w:t>
            </w:r>
          </w:p>
        </w:tc>
      </w:tr>
      <w:tr w:rsidR="00A43741" w14:paraId="4BF5A227" w14:textId="77777777" w:rsidTr="00BD4B79">
        <w:trPr>
          <w:trHeight w:val="440"/>
        </w:trPr>
        <w:tc>
          <w:tcPr>
            <w:tcW w:w="2835" w:type="dxa"/>
          </w:tcPr>
          <w:p w14:paraId="128AE577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Классы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5670" w:type="dxa"/>
          </w:tcPr>
          <w:p w14:paraId="7591CED5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Признаки первого порядка, признаки второго порядка (МСУС, МРССТ, МДСУС, МЗРУС)</w:t>
            </w:r>
          </w:p>
        </w:tc>
        <w:tc>
          <w:tcPr>
            <w:tcW w:w="6060" w:type="dxa"/>
          </w:tcPr>
          <w:p w14:paraId="75B8C1F4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Не рассматриваются</w:t>
            </w:r>
            <w:r>
              <w:rPr>
                <w:rFonts w:eastAsia="Calibri"/>
                <w:color w:val="auto"/>
                <w:sz w:val="16"/>
              </w:rPr>
              <w:tab/>
            </w:r>
          </w:p>
        </w:tc>
      </w:tr>
      <w:tr w:rsidR="00A43741" w14:paraId="5D2236AE" w14:textId="77777777" w:rsidTr="00BD4B79">
        <w:tc>
          <w:tcPr>
            <w:tcW w:w="2835" w:type="dxa"/>
          </w:tcPr>
          <w:p w14:paraId="295A9D64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Использование машинного обучения</w:t>
            </w:r>
          </w:p>
        </w:tc>
        <w:tc>
          <w:tcPr>
            <w:tcW w:w="5670" w:type="dxa"/>
          </w:tcPr>
          <w:p w14:paraId="1454DC66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нет</w:t>
            </w:r>
          </w:p>
        </w:tc>
        <w:tc>
          <w:tcPr>
            <w:tcW w:w="6060" w:type="dxa"/>
          </w:tcPr>
          <w:p w14:paraId="1697EB15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нет</w:t>
            </w:r>
          </w:p>
        </w:tc>
      </w:tr>
      <w:tr w:rsidR="00A43741" w14:paraId="08C6FDCF" w14:textId="77777777" w:rsidTr="00BD4B79">
        <w:tc>
          <w:tcPr>
            <w:tcW w:w="2835" w:type="dxa"/>
          </w:tcPr>
          <w:p w14:paraId="049897F1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Число отобранных в качестве значимых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5670" w:type="dxa"/>
          </w:tcPr>
          <w:p w14:paraId="6D09AD26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 xml:space="preserve">2 </w:t>
            </w:r>
            <w:r w:rsidRPr="000D6134">
              <w:rPr>
                <w:rFonts w:eastAsia="Calibri"/>
                <w:color w:val="auto"/>
                <w:sz w:val="16"/>
              </w:rPr>
              <w:t>(ЛРС)</w:t>
            </w:r>
            <w:r>
              <w:rPr>
                <w:rFonts w:eastAsia="Calibri"/>
                <w:color w:val="auto"/>
                <w:sz w:val="16"/>
              </w:rPr>
              <w:t>, 5 (ВБП)</w:t>
            </w:r>
          </w:p>
        </w:tc>
        <w:tc>
          <w:tcPr>
            <w:tcW w:w="6060" w:type="dxa"/>
          </w:tcPr>
          <w:p w14:paraId="27447847" w14:textId="77777777" w:rsidR="00A43741" w:rsidRDefault="00A43741" w:rsidP="00BD4B79">
            <w:pPr>
              <w:pStyle w:val="TableLeft"/>
              <w:rPr>
                <w:rFonts w:eastAsia="Calibri"/>
                <w:color w:val="auto"/>
                <w:sz w:val="16"/>
              </w:rPr>
            </w:pPr>
            <w:r>
              <w:rPr>
                <w:rFonts w:eastAsia="Calibri"/>
                <w:color w:val="auto"/>
                <w:sz w:val="16"/>
              </w:rPr>
              <w:t>9</w:t>
            </w:r>
          </w:p>
        </w:tc>
      </w:tr>
    </w:tbl>
    <w:p w14:paraId="078399D8" w14:textId="5D49E126" w:rsidR="00A43741" w:rsidRDefault="00A43741" w:rsidP="00A43741">
      <w:pPr>
        <w:spacing w:line="240" w:lineRule="auto"/>
        <w:ind w:left="0" w:right="0"/>
        <w:jc w:val="left"/>
      </w:pPr>
      <w:r>
        <w:t xml:space="preserve">Продолжение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64"/>
        <w:gridCol w:w="1537"/>
        <w:gridCol w:w="1594"/>
        <w:gridCol w:w="1495"/>
        <w:gridCol w:w="1722"/>
        <w:gridCol w:w="1738"/>
      </w:tblGrid>
      <w:tr w:rsidR="00A43741" w14:paraId="5E059E9D" w14:textId="77777777" w:rsidTr="00BD4B79">
        <w:tc>
          <w:tcPr>
            <w:tcW w:w="14565" w:type="dxa"/>
            <w:gridSpan w:val="6"/>
          </w:tcPr>
          <w:p w14:paraId="5EB19748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  <w:lang w:val="en-US"/>
              </w:rPr>
              <w:t>2022</w:t>
            </w:r>
          </w:p>
        </w:tc>
      </w:tr>
      <w:tr w:rsidR="00A43741" w14:paraId="54EB56DF" w14:textId="77777777" w:rsidTr="00BD4B79">
        <w:tc>
          <w:tcPr>
            <w:tcW w:w="2127" w:type="dxa"/>
            <w:vMerge w:val="restart"/>
          </w:tcPr>
          <w:p w14:paraId="18A2D7BC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Первый автор</w:t>
            </w:r>
          </w:p>
        </w:tc>
        <w:tc>
          <w:tcPr>
            <w:tcW w:w="2409" w:type="dxa"/>
            <w:vAlign w:val="center"/>
          </w:tcPr>
          <w:p w14:paraId="3A3B13F3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r>
              <w:rPr>
                <w:rFonts w:ascii="Times New Roman" w:hAnsi="Times New Roman"/>
                <w:color w:val="auto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07792427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r>
              <w:rPr>
                <w:rFonts w:ascii="Times New Roman" w:hAnsi="Times New Roman"/>
                <w:color w:val="auto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14:paraId="4D6C9B99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r>
              <w:rPr>
                <w:rFonts w:ascii="Times New Roman" w:hAnsi="Times New Roman"/>
                <w:color w:val="auto"/>
                <w:szCs w:val="16"/>
              </w:rPr>
              <w:t>3</w:t>
            </w:r>
          </w:p>
        </w:tc>
        <w:tc>
          <w:tcPr>
            <w:tcW w:w="2692" w:type="dxa"/>
            <w:vAlign w:val="center"/>
          </w:tcPr>
          <w:p w14:paraId="5A9A1598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r>
              <w:rPr>
                <w:rFonts w:ascii="Times New Roman" w:hAnsi="Times New Roman"/>
                <w:color w:val="auto"/>
                <w:szCs w:val="16"/>
              </w:rPr>
              <w:t>4</w:t>
            </w:r>
          </w:p>
        </w:tc>
        <w:tc>
          <w:tcPr>
            <w:tcW w:w="2375" w:type="dxa"/>
            <w:vAlign w:val="center"/>
          </w:tcPr>
          <w:p w14:paraId="643B6054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r>
              <w:rPr>
                <w:rFonts w:ascii="Times New Roman" w:hAnsi="Times New Roman"/>
                <w:color w:val="auto"/>
                <w:szCs w:val="16"/>
              </w:rPr>
              <w:t>5</w:t>
            </w:r>
          </w:p>
        </w:tc>
      </w:tr>
      <w:tr w:rsidR="00A43741" w14:paraId="23705847" w14:textId="77777777" w:rsidTr="00BD4B79">
        <w:tc>
          <w:tcPr>
            <w:tcW w:w="2127" w:type="dxa"/>
            <w:vMerge/>
          </w:tcPr>
          <w:p w14:paraId="6370997A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</w:p>
        </w:tc>
        <w:tc>
          <w:tcPr>
            <w:tcW w:w="2409" w:type="dxa"/>
            <w:vAlign w:val="center"/>
          </w:tcPr>
          <w:p w14:paraId="71BCCFCF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r>
              <w:rPr>
                <w:rFonts w:ascii="Times New Roman" w:hAnsi="Times New Roman"/>
                <w:color w:val="auto"/>
                <w:szCs w:val="16"/>
                <w:lang w:val="en-US"/>
              </w:rPr>
              <w:t>Gonçalves M.</w:t>
            </w:r>
          </w:p>
        </w:tc>
        <w:tc>
          <w:tcPr>
            <w:tcW w:w="2268" w:type="dxa"/>
            <w:vAlign w:val="center"/>
          </w:tcPr>
          <w:p w14:paraId="737D2704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16"/>
              </w:rPr>
              <w:t>Teng</w:t>
            </w:r>
            <w:proofErr w:type="spellEnd"/>
            <w:r>
              <w:rPr>
                <w:rFonts w:ascii="Times New Roman" w:hAnsi="Times New Roman"/>
                <w:color w:val="auto"/>
                <w:szCs w:val="16"/>
              </w:rPr>
              <w:t xml:space="preserve"> X.</w:t>
            </w:r>
          </w:p>
        </w:tc>
        <w:tc>
          <w:tcPr>
            <w:tcW w:w="2694" w:type="dxa"/>
            <w:vAlign w:val="center"/>
          </w:tcPr>
          <w:p w14:paraId="234EB72C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16"/>
              </w:rPr>
              <w:t>Zhang</w:t>
            </w:r>
            <w:proofErr w:type="spellEnd"/>
            <w:r>
              <w:rPr>
                <w:rFonts w:ascii="Times New Roman" w:hAnsi="Times New Roman"/>
                <w:color w:val="auto"/>
                <w:szCs w:val="16"/>
              </w:rPr>
              <w:t xml:space="preserve"> W.</w:t>
            </w:r>
          </w:p>
        </w:tc>
        <w:tc>
          <w:tcPr>
            <w:tcW w:w="2692" w:type="dxa"/>
            <w:vAlign w:val="center"/>
          </w:tcPr>
          <w:p w14:paraId="1DD5CA0F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16"/>
              </w:rPr>
              <w:t>Yang</w:t>
            </w:r>
            <w:proofErr w:type="spellEnd"/>
            <w:r>
              <w:rPr>
                <w:rFonts w:ascii="Times New Roman" w:hAnsi="Times New Roman"/>
                <w:color w:val="auto"/>
                <w:szCs w:val="16"/>
              </w:rPr>
              <w:t xml:space="preserve"> G.</w:t>
            </w:r>
          </w:p>
        </w:tc>
        <w:tc>
          <w:tcPr>
            <w:tcW w:w="2375" w:type="dxa"/>
            <w:vAlign w:val="center"/>
          </w:tcPr>
          <w:p w14:paraId="2DB56855" w14:textId="77777777" w:rsidR="00A43741" w:rsidRDefault="00A43741" w:rsidP="00BD4B79">
            <w:pPr>
              <w:pStyle w:val="TableName"/>
              <w:spacing w:before="0" w:after="0"/>
              <w:ind w:left="0" w:firstLine="0"/>
              <w:jc w:val="center"/>
              <w:rPr>
                <w:rFonts w:ascii="Times New Roman" w:hAnsi="Times New Roman"/>
                <w:color w:val="auto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16"/>
                <w:lang w:val="en-US"/>
              </w:rPr>
              <w:t>Intarak</w:t>
            </w:r>
            <w:proofErr w:type="spellEnd"/>
            <w:r>
              <w:rPr>
                <w:rFonts w:ascii="Times New Roman" w:hAnsi="Times New Roman"/>
                <w:color w:val="auto"/>
                <w:szCs w:val="16"/>
                <w:lang w:val="en-US"/>
              </w:rPr>
              <w:t xml:space="preserve"> S</w:t>
            </w:r>
            <w:r>
              <w:rPr>
                <w:rFonts w:ascii="Times New Roman" w:hAnsi="Times New Roman"/>
                <w:color w:val="auto"/>
                <w:szCs w:val="16"/>
              </w:rPr>
              <w:t>.</w:t>
            </w:r>
          </w:p>
        </w:tc>
      </w:tr>
      <w:tr w:rsidR="00A43741" w:rsidRPr="00A43741" w14:paraId="0C1EA331" w14:textId="77777777" w:rsidTr="00BD4B79">
        <w:tc>
          <w:tcPr>
            <w:tcW w:w="2127" w:type="dxa"/>
          </w:tcPr>
          <w:p w14:paraId="27F755A4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Название статьи</w:t>
            </w:r>
          </w:p>
        </w:tc>
        <w:tc>
          <w:tcPr>
            <w:tcW w:w="2409" w:type="dxa"/>
          </w:tcPr>
          <w:p w14:paraId="569D30BF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Radiomics in Head and Neck Cancer Outcome Predictions</w:t>
            </w:r>
          </w:p>
        </w:tc>
        <w:tc>
          <w:tcPr>
            <w:tcW w:w="2268" w:type="dxa"/>
          </w:tcPr>
          <w:p w14:paraId="6763E3C1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Improving radiomic model reliability using robust features from perturbations for head-and-neck carcinoma</w:t>
            </w:r>
          </w:p>
        </w:tc>
        <w:tc>
          <w:tcPr>
            <w:tcW w:w="2694" w:type="dxa"/>
          </w:tcPr>
          <w:p w14:paraId="7E25512E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 xml:space="preserve">Deep learning combined with radiomics for the </w:t>
            </w:r>
            <w:proofErr w:type="spellStart"/>
            <w:r>
              <w:rPr>
                <w:color w:val="auto"/>
                <w:sz w:val="16"/>
                <w:lang w:val="en-US"/>
              </w:rPr>
              <w:t>classifcation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 of enlarged cervical lymph nodes</w:t>
            </w:r>
          </w:p>
        </w:tc>
        <w:tc>
          <w:tcPr>
            <w:tcW w:w="2692" w:type="dxa"/>
          </w:tcPr>
          <w:p w14:paraId="78A84B64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Radiomics Profiling Identifies the Value of CT Features for the Preoperative Evaluation of Lymph Node Metastasis in Papillary Thyroid Carcinoma</w:t>
            </w:r>
          </w:p>
        </w:tc>
        <w:tc>
          <w:tcPr>
            <w:tcW w:w="2375" w:type="dxa"/>
          </w:tcPr>
          <w:p w14:paraId="6B613AEE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Tumor Prognostic Prediction of Nasopharyngeal Carcinoma Using CT-Based Radiomics in Non-Chinese Patients</w:t>
            </w:r>
            <w:r>
              <w:rPr>
                <w:color w:val="auto"/>
                <w:sz w:val="16"/>
                <w:lang w:val="en-US"/>
              </w:rPr>
              <w:tab/>
            </w:r>
          </w:p>
        </w:tc>
      </w:tr>
      <w:tr w:rsidR="00A43741" w14:paraId="2DF41399" w14:textId="77777777" w:rsidTr="00BD4B79">
        <w:trPr>
          <w:trHeight w:val="316"/>
        </w:trPr>
        <w:tc>
          <w:tcPr>
            <w:tcW w:w="2127" w:type="dxa"/>
          </w:tcPr>
          <w:p w14:paraId="0E67437B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Журнал, импакт-фактор</w:t>
            </w:r>
          </w:p>
        </w:tc>
        <w:tc>
          <w:tcPr>
            <w:tcW w:w="2409" w:type="dxa"/>
          </w:tcPr>
          <w:p w14:paraId="2A946D66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>Diagnostics,</w:t>
            </w:r>
            <w:r>
              <w:rPr>
                <w:color w:val="auto"/>
                <w:sz w:val="16"/>
              </w:rPr>
              <w:t xml:space="preserve"> 4.129</w:t>
            </w:r>
          </w:p>
        </w:tc>
        <w:tc>
          <w:tcPr>
            <w:tcW w:w="2268" w:type="dxa"/>
          </w:tcPr>
          <w:p w14:paraId="1B359FE0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>Frontiers in Oncology, 5.738</w:t>
            </w:r>
          </w:p>
        </w:tc>
        <w:tc>
          <w:tcPr>
            <w:tcW w:w="2694" w:type="dxa"/>
          </w:tcPr>
          <w:p w14:paraId="7343023A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Journal of Cancer Research and Clinical Oncology, 4.176</w:t>
            </w:r>
          </w:p>
        </w:tc>
        <w:tc>
          <w:tcPr>
            <w:tcW w:w="2692" w:type="dxa"/>
          </w:tcPr>
          <w:p w14:paraId="6CB97190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 xml:space="preserve">Diagnostics, </w:t>
            </w:r>
            <w:r>
              <w:rPr>
                <w:color w:val="auto"/>
                <w:sz w:val="16"/>
                <w:szCs w:val="16"/>
              </w:rPr>
              <w:t>4.129</w:t>
            </w:r>
          </w:p>
        </w:tc>
        <w:tc>
          <w:tcPr>
            <w:tcW w:w="2375" w:type="dxa"/>
          </w:tcPr>
          <w:p w14:paraId="2146A351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 xml:space="preserve">Frontiers in Oncology, </w:t>
            </w:r>
            <w:r>
              <w:rPr>
                <w:color w:val="auto"/>
                <w:sz w:val="16"/>
              </w:rPr>
              <w:t>5.738</w:t>
            </w:r>
          </w:p>
        </w:tc>
      </w:tr>
      <w:tr w:rsidR="00A43741" w14:paraId="2A66F083" w14:textId="77777777" w:rsidTr="00BD4B79">
        <w:tc>
          <w:tcPr>
            <w:tcW w:w="2127" w:type="dxa"/>
          </w:tcPr>
          <w:p w14:paraId="07A09EC4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lastRenderedPageBreak/>
              <w:t>Страна исследования</w:t>
            </w:r>
          </w:p>
        </w:tc>
        <w:tc>
          <w:tcPr>
            <w:tcW w:w="2409" w:type="dxa"/>
          </w:tcPr>
          <w:p w14:paraId="37F771F0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Португалия, Австрия, Германия</w:t>
            </w:r>
          </w:p>
        </w:tc>
        <w:tc>
          <w:tcPr>
            <w:tcW w:w="2268" w:type="dxa"/>
          </w:tcPr>
          <w:p w14:paraId="2ADAC886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  <w:lang w:val="en-US"/>
              </w:rPr>
              <w:t>Китай</w:t>
            </w:r>
            <w:proofErr w:type="spellEnd"/>
          </w:p>
        </w:tc>
        <w:tc>
          <w:tcPr>
            <w:tcW w:w="2694" w:type="dxa"/>
          </w:tcPr>
          <w:p w14:paraId="264B8955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  <w:lang w:val="en-US"/>
              </w:rPr>
              <w:t>Китай</w:t>
            </w:r>
            <w:proofErr w:type="spellEnd"/>
          </w:p>
        </w:tc>
        <w:tc>
          <w:tcPr>
            <w:tcW w:w="2692" w:type="dxa"/>
          </w:tcPr>
          <w:p w14:paraId="3AE054C0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Китай</w:t>
            </w:r>
          </w:p>
        </w:tc>
        <w:tc>
          <w:tcPr>
            <w:tcW w:w="2375" w:type="dxa"/>
          </w:tcPr>
          <w:p w14:paraId="4B201F8B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</w:rPr>
              <w:t>Тайланд</w:t>
            </w:r>
            <w:proofErr w:type="spellEnd"/>
          </w:p>
        </w:tc>
      </w:tr>
      <w:tr w:rsidR="00A43741" w14:paraId="502F1575" w14:textId="77777777" w:rsidTr="00BD4B79">
        <w:tc>
          <w:tcPr>
            <w:tcW w:w="2127" w:type="dxa"/>
          </w:tcPr>
          <w:p w14:paraId="4A25A356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Цель исследования</w:t>
            </w:r>
          </w:p>
        </w:tc>
        <w:tc>
          <w:tcPr>
            <w:tcW w:w="2409" w:type="dxa"/>
          </w:tcPr>
          <w:p w14:paraId="20F7FA9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Проанализировать три важных прогностических маркёра у пациентов с раком головы и шеи (риск ЛР, оценка появления ОМ и оценка общей выживаемости) посредством построения и разработки моделей клинического прогнозирования, использующих возможности машинного обучения, </w:t>
            </w:r>
            <w:proofErr w:type="spellStart"/>
            <w:r>
              <w:rPr>
                <w:color w:val="auto"/>
                <w:sz w:val="16"/>
              </w:rPr>
              <w:t>радиомические</w:t>
            </w:r>
            <w:proofErr w:type="spellEnd"/>
            <w:r>
              <w:rPr>
                <w:color w:val="auto"/>
                <w:sz w:val="16"/>
              </w:rPr>
              <w:t xml:space="preserve"> данные и клиническую информацию</w:t>
            </w:r>
          </w:p>
        </w:tc>
        <w:tc>
          <w:tcPr>
            <w:tcW w:w="2268" w:type="dxa"/>
          </w:tcPr>
          <w:p w14:paraId="6455B00C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Оценить надёжность и </w:t>
            </w:r>
            <w:proofErr w:type="spellStart"/>
            <w:r>
              <w:rPr>
                <w:color w:val="auto"/>
                <w:sz w:val="16"/>
              </w:rPr>
              <w:t>обобщаемость</w:t>
            </w:r>
            <w:proofErr w:type="spellEnd"/>
            <w:r>
              <w:rPr>
                <w:color w:val="auto"/>
                <w:sz w:val="16"/>
              </w:rPr>
              <w:t xml:space="preserve"> </w:t>
            </w:r>
            <w:proofErr w:type="spellStart"/>
            <w:r>
              <w:rPr>
                <w:color w:val="auto"/>
                <w:sz w:val="16"/>
              </w:rPr>
              <w:t>радиомической</w:t>
            </w:r>
            <w:proofErr w:type="spellEnd"/>
            <w:r>
              <w:rPr>
                <w:color w:val="auto"/>
                <w:sz w:val="16"/>
              </w:rPr>
              <w:t xml:space="preserve"> модели после отсева </w:t>
            </w:r>
            <w:proofErr w:type="spellStart"/>
            <w:r>
              <w:rPr>
                <w:color w:val="auto"/>
                <w:sz w:val="16"/>
              </w:rPr>
              <w:t>низконадёжных</w:t>
            </w:r>
            <w:proofErr w:type="spellEnd"/>
            <w:r>
              <w:rPr>
                <w:color w:val="auto"/>
                <w:sz w:val="16"/>
              </w:rPr>
              <w:t xml:space="preserve"> признаков до </w:t>
            </w:r>
            <w:proofErr w:type="spellStart"/>
            <w:r>
              <w:rPr>
                <w:color w:val="auto"/>
                <w:sz w:val="16"/>
              </w:rPr>
              <w:t>радиомического</w:t>
            </w:r>
            <w:proofErr w:type="spellEnd"/>
            <w:r>
              <w:rPr>
                <w:color w:val="auto"/>
                <w:sz w:val="16"/>
              </w:rPr>
              <w:t xml:space="preserve"> моделирования</w:t>
            </w:r>
          </w:p>
        </w:tc>
        <w:tc>
          <w:tcPr>
            <w:tcW w:w="2694" w:type="dxa"/>
          </w:tcPr>
          <w:p w14:paraId="464FAED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Исследовать применение глубокого обучения в сочетании с традиционными методами </w:t>
            </w:r>
            <w:proofErr w:type="spellStart"/>
            <w:r>
              <w:rPr>
                <w:color w:val="auto"/>
                <w:sz w:val="16"/>
              </w:rPr>
              <w:t>радиомики</w:t>
            </w:r>
            <w:proofErr w:type="spellEnd"/>
            <w:r>
              <w:rPr>
                <w:color w:val="auto"/>
                <w:sz w:val="16"/>
              </w:rPr>
              <w:t xml:space="preserve"> для классификации увеличенных шейных ЛУ</w:t>
            </w:r>
          </w:p>
        </w:tc>
        <w:tc>
          <w:tcPr>
            <w:tcW w:w="2692" w:type="dxa"/>
          </w:tcPr>
          <w:p w14:paraId="79F3A9A6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Определить ценность интегрирования рентгенологического анализа КТ с диагнозом радиологов и клиническими факторами для предоперационной диагностики метастазов в шейные ЛУ у пациентов с </w:t>
            </w:r>
            <w:r>
              <w:rPr>
                <w:rFonts w:eastAsia="Calibri"/>
                <w:color w:val="auto"/>
              </w:rPr>
              <w:t>папиллярной карциномой щитовидной железы</w:t>
            </w:r>
          </w:p>
        </w:tc>
        <w:tc>
          <w:tcPr>
            <w:tcW w:w="2375" w:type="dxa"/>
          </w:tcPr>
          <w:p w14:paraId="13C037F3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Построить прогностические модели для общей выживаемости, ВБП без ОМ для пациентов с </w:t>
            </w:r>
            <w:proofErr w:type="spellStart"/>
            <w:r>
              <w:rPr>
                <w:color w:val="auto"/>
                <w:sz w:val="16"/>
              </w:rPr>
              <w:t>назофарингеальной</w:t>
            </w:r>
            <w:proofErr w:type="spellEnd"/>
            <w:r>
              <w:rPr>
                <w:color w:val="auto"/>
                <w:sz w:val="16"/>
              </w:rPr>
              <w:t xml:space="preserve"> карциномой с использованием </w:t>
            </w:r>
            <w:proofErr w:type="spellStart"/>
            <w:r>
              <w:rPr>
                <w:color w:val="auto"/>
                <w:sz w:val="16"/>
              </w:rPr>
              <w:t>радиомики</w:t>
            </w:r>
            <w:proofErr w:type="spellEnd"/>
            <w:r>
              <w:rPr>
                <w:color w:val="auto"/>
                <w:sz w:val="16"/>
              </w:rPr>
              <w:t xml:space="preserve"> на основе КТ</w:t>
            </w:r>
          </w:p>
        </w:tc>
      </w:tr>
      <w:tr w:rsidR="00A43741" w14:paraId="5944CB5D" w14:textId="77777777" w:rsidTr="00BD4B79">
        <w:tc>
          <w:tcPr>
            <w:tcW w:w="2127" w:type="dxa"/>
          </w:tcPr>
          <w:p w14:paraId="3956FB7A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Дизайн</w:t>
            </w:r>
          </w:p>
        </w:tc>
        <w:tc>
          <w:tcPr>
            <w:tcW w:w="2409" w:type="dxa"/>
          </w:tcPr>
          <w:p w14:paraId="58FA4638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Ретроспективное, многоцентровое</w:t>
            </w:r>
          </w:p>
        </w:tc>
        <w:tc>
          <w:tcPr>
            <w:tcW w:w="2268" w:type="dxa"/>
          </w:tcPr>
          <w:p w14:paraId="1464B673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  <w:lang w:val="en-US"/>
              </w:rPr>
              <w:t>Ретроспективное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16"/>
                <w:lang w:val="en-US"/>
              </w:rPr>
              <w:t>многоцентровое</w:t>
            </w:r>
            <w:proofErr w:type="spellEnd"/>
          </w:p>
        </w:tc>
        <w:tc>
          <w:tcPr>
            <w:tcW w:w="2694" w:type="dxa"/>
          </w:tcPr>
          <w:p w14:paraId="76B82707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  <w:lang w:val="en-US"/>
              </w:rPr>
              <w:t>Ретроспективное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16"/>
                <w:lang w:val="en-US"/>
              </w:rPr>
              <w:t>одноцентровое</w:t>
            </w:r>
            <w:proofErr w:type="spellEnd"/>
          </w:p>
        </w:tc>
        <w:tc>
          <w:tcPr>
            <w:tcW w:w="2692" w:type="dxa"/>
          </w:tcPr>
          <w:p w14:paraId="11BE1BCD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Ретроспективное, </w:t>
            </w:r>
            <w:proofErr w:type="spellStart"/>
            <w:r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2375" w:type="dxa"/>
          </w:tcPr>
          <w:p w14:paraId="453D3C72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Ретроспективное, </w:t>
            </w:r>
            <w:proofErr w:type="spellStart"/>
            <w:r>
              <w:rPr>
                <w:color w:val="auto"/>
                <w:sz w:val="16"/>
              </w:rPr>
              <w:t>одноцентровое</w:t>
            </w:r>
            <w:proofErr w:type="spellEnd"/>
          </w:p>
        </w:tc>
      </w:tr>
      <w:tr w:rsidR="00A43741" w14:paraId="5293A6FC" w14:textId="77777777" w:rsidTr="00BD4B79">
        <w:tc>
          <w:tcPr>
            <w:tcW w:w="2127" w:type="dxa"/>
          </w:tcPr>
          <w:p w14:paraId="3F3A827B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Критерии включения</w:t>
            </w:r>
          </w:p>
        </w:tc>
        <w:tc>
          <w:tcPr>
            <w:tcW w:w="2409" w:type="dxa"/>
          </w:tcPr>
          <w:p w14:paraId="42AC7E67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1) снимки ПЭТ/КТ с </w:t>
            </w:r>
            <w:r>
              <w:rPr>
                <w:color w:val="auto"/>
                <w:sz w:val="16"/>
                <w:vertAlign w:val="superscript"/>
              </w:rPr>
              <w:t>18</w:t>
            </w:r>
            <w:r>
              <w:rPr>
                <w:color w:val="auto"/>
                <w:sz w:val="16"/>
              </w:rPr>
              <w:t>F-ФДГ перед лечением со средним значением 18 дней (диапазон: 6–66) до лечения;</w:t>
            </w:r>
            <w:r>
              <w:rPr>
                <w:color w:val="auto"/>
                <w:sz w:val="16"/>
              </w:rPr>
              <w:br/>
              <w:t>2) наличие клинической информацию (пол, возраст, первичная локализация, стадия рака, статус ВПЧ) и информации о дозе лучевой терапии</w:t>
            </w:r>
          </w:p>
        </w:tc>
        <w:tc>
          <w:tcPr>
            <w:tcW w:w="2268" w:type="dxa"/>
          </w:tcPr>
          <w:p w14:paraId="6E7A0776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доступные КТ-изображения до лечения;</w:t>
            </w:r>
            <w:r>
              <w:rPr>
                <w:color w:val="auto"/>
                <w:sz w:val="16"/>
              </w:rPr>
              <w:br/>
              <w:t>2) записи клинических исходов как ОМ, так и ЛР;</w:t>
            </w:r>
            <w:r>
              <w:rPr>
                <w:color w:val="auto"/>
                <w:sz w:val="16"/>
              </w:rPr>
              <w:br/>
              <w:t xml:space="preserve">3) контуры первичного макроскопического объема опухоли </w:t>
            </w:r>
          </w:p>
        </w:tc>
        <w:tc>
          <w:tcPr>
            <w:tcW w:w="2694" w:type="dxa"/>
          </w:tcPr>
          <w:p w14:paraId="5A7D3619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КТ шеи в артериальной фазе;</w:t>
            </w:r>
            <w:r>
              <w:rPr>
                <w:color w:val="auto"/>
                <w:sz w:val="16"/>
              </w:rPr>
              <w:br/>
              <w:t>2) единичные или множественные увеличенные ЛУ с наименьшим диаметром &gt;1 см на КТ-изображениях;</w:t>
            </w:r>
            <w:r>
              <w:rPr>
                <w:color w:val="auto"/>
                <w:sz w:val="16"/>
              </w:rPr>
              <w:br/>
              <w:t>3) наличие подтверждения диагнозов с помощью хирургического вмешательства или биопсии</w:t>
            </w:r>
          </w:p>
        </w:tc>
        <w:tc>
          <w:tcPr>
            <w:tcW w:w="2692" w:type="dxa"/>
          </w:tcPr>
          <w:p w14:paraId="10913D38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1) подтверждённый диагноз папиллярной карциномы щитовидной железы;</w:t>
            </w:r>
            <w:r>
              <w:rPr>
                <w:color w:val="auto"/>
                <w:sz w:val="16"/>
                <w:szCs w:val="16"/>
              </w:rPr>
              <w:br/>
              <w:t>2) диагностированное патологическое состояние ЛУ;</w:t>
            </w:r>
            <w:r>
              <w:rPr>
                <w:color w:val="auto"/>
                <w:sz w:val="16"/>
                <w:szCs w:val="16"/>
              </w:rPr>
              <w:br/>
              <w:t xml:space="preserve">3) предоперационная </w:t>
            </w:r>
            <w:proofErr w:type="spellStart"/>
            <w:r>
              <w:rPr>
                <w:color w:val="auto"/>
                <w:sz w:val="16"/>
                <w:szCs w:val="16"/>
              </w:rPr>
              <w:t>бесконтрастная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КТ и двухфазная динамическая контрастная КТ достаточно высокого качества для анализа;</w:t>
            </w:r>
            <w:r>
              <w:rPr>
                <w:color w:val="auto"/>
                <w:sz w:val="16"/>
                <w:szCs w:val="16"/>
              </w:rPr>
              <w:br/>
              <w:t>4) доступная клиническая информация</w:t>
            </w:r>
          </w:p>
        </w:tc>
        <w:tc>
          <w:tcPr>
            <w:tcW w:w="2375" w:type="dxa"/>
          </w:tcPr>
          <w:p w14:paraId="2EE6428B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1) впервые </w:t>
            </w:r>
            <w:proofErr w:type="spellStart"/>
            <w:r>
              <w:rPr>
                <w:color w:val="auto"/>
                <w:sz w:val="16"/>
              </w:rPr>
              <w:t>диагностированнаяй</w:t>
            </w:r>
            <w:proofErr w:type="spellEnd"/>
            <w:r>
              <w:rPr>
                <w:color w:val="auto"/>
                <w:sz w:val="16"/>
              </w:rPr>
              <w:t xml:space="preserve"> </w:t>
            </w:r>
            <w:proofErr w:type="spellStart"/>
            <w:r>
              <w:rPr>
                <w:rFonts w:eastAsia="Calibri"/>
                <w:color w:val="auto"/>
              </w:rPr>
              <w:t>назофарингеальная</w:t>
            </w:r>
            <w:proofErr w:type="spellEnd"/>
            <w:r>
              <w:rPr>
                <w:rFonts w:eastAsia="Calibri"/>
                <w:color w:val="auto"/>
              </w:rPr>
              <w:t xml:space="preserve"> карцинома</w:t>
            </w:r>
            <w:r>
              <w:rPr>
                <w:color w:val="auto"/>
                <w:sz w:val="16"/>
              </w:rPr>
              <w:t>;</w:t>
            </w:r>
            <w:r>
              <w:rPr>
                <w:color w:val="auto"/>
                <w:sz w:val="16"/>
              </w:rPr>
              <w:br/>
              <w:t>2) отсутствие признаков отдалённых метастазов;</w:t>
            </w:r>
            <w:r>
              <w:rPr>
                <w:color w:val="auto"/>
                <w:sz w:val="16"/>
              </w:rPr>
              <w:br/>
              <w:t>3) время наблюдения не менее 3 лет;</w:t>
            </w:r>
            <w:r>
              <w:rPr>
                <w:color w:val="auto"/>
                <w:sz w:val="16"/>
              </w:rPr>
              <w:br/>
              <w:t>4) проведена симуляция КТ и магнитно-резонансной томографии;</w:t>
            </w:r>
            <w:r>
              <w:rPr>
                <w:color w:val="auto"/>
                <w:sz w:val="16"/>
              </w:rPr>
              <w:br/>
              <w:t>5) проведена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16"/>
              </w:rPr>
              <w:t>лучевая терапия с модуляцией интенсивности с химиотерапией;</w:t>
            </w:r>
            <w:r>
              <w:rPr>
                <w:color w:val="auto"/>
                <w:sz w:val="16"/>
              </w:rPr>
              <w:br/>
              <w:t xml:space="preserve">6) доступный уровень ДНК вируса </w:t>
            </w:r>
            <w:proofErr w:type="spellStart"/>
            <w:r>
              <w:rPr>
                <w:color w:val="auto"/>
                <w:sz w:val="16"/>
              </w:rPr>
              <w:t>Эпстайна</w:t>
            </w:r>
            <w:proofErr w:type="spellEnd"/>
            <w:r>
              <w:rPr>
                <w:color w:val="auto"/>
                <w:sz w:val="16"/>
              </w:rPr>
              <w:t>–Барр в плазме до лечения</w:t>
            </w:r>
          </w:p>
        </w:tc>
      </w:tr>
    </w:tbl>
    <w:p w14:paraId="0579FF3F" w14:textId="5E5FE88C" w:rsidR="00A43741" w:rsidRDefault="00A43741" w:rsidP="00A43741">
      <w:pPr>
        <w:pStyle w:val="TableName"/>
        <w:rPr>
          <w:color w:val="auto"/>
        </w:rPr>
      </w:pPr>
      <w:r>
        <w:rPr>
          <w:color w:val="auto"/>
        </w:rPr>
        <w:t xml:space="preserve">Продолжение </w:t>
      </w:r>
    </w:p>
    <w:tbl>
      <w:tblPr>
        <w:tblStyle w:val="a7"/>
        <w:tblW w:w="0" w:type="auto"/>
        <w:tblInd w:w="-10" w:type="dxa"/>
        <w:tblLook w:val="04A0" w:firstRow="1" w:lastRow="0" w:firstColumn="1" w:lastColumn="0" w:noHBand="0" w:noVBand="1"/>
      </w:tblPr>
      <w:tblGrid>
        <w:gridCol w:w="1495"/>
        <w:gridCol w:w="1366"/>
        <w:gridCol w:w="1399"/>
        <w:gridCol w:w="1826"/>
        <w:gridCol w:w="1698"/>
        <w:gridCol w:w="1576"/>
      </w:tblGrid>
      <w:tr w:rsidR="00A43741" w14:paraId="2C4E0A27" w14:textId="77777777" w:rsidTr="00BD4B79">
        <w:tc>
          <w:tcPr>
            <w:tcW w:w="18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41C45E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A1711A1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20C3244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  <w:lang w:val="en-US"/>
              </w:rPr>
            </w:pPr>
            <w:r>
              <w:rPr>
                <w:b/>
                <w:bCs/>
                <w:color w:val="auto"/>
                <w:sz w:val="16"/>
              </w:rPr>
              <w:t>2</w:t>
            </w:r>
          </w:p>
        </w:tc>
        <w:tc>
          <w:tcPr>
            <w:tcW w:w="3260" w:type="dxa"/>
            <w:vAlign w:val="center"/>
          </w:tcPr>
          <w:p w14:paraId="68F1404E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3</w:t>
            </w:r>
          </w:p>
        </w:tc>
        <w:tc>
          <w:tcPr>
            <w:tcW w:w="3686" w:type="dxa"/>
            <w:vAlign w:val="center"/>
          </w:tcPr>
          <w:p w14:paraId="0A3CD5DE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4</w:t>
            </w:r>
          </w:p>
        </w:tc>
        <w:tc>
          <w:tcPr>
            <w:tcW w:w="2222" w:type="dxa"/>
            <w:vAlign w:val="center"/>
          </w:tcPr>
          <w:p w14:paraId="5AE55DD8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5</w:t>
            </w:r>
          </w:p>
        </w:tc>
      </w:tr>
      <w:tr w:rsidR="00A43741" w14:paraId="64C0A8A6" w14:textId="77777777" w:rsidTr="00BD4B79">
        <w:tc>
          <w:tcPr>
            <w:tcW w:w="1853" w:type="dxa"/>
            <w:tcBorders>
              <w:top w:val="single" w:sz="4" w:space="0" w:color="auto"/>
            </w:tcBorders>
          </w:tcPr>
          <w:p w14:paraId="48E8361C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Критерии исключения</w:t>
            </w:r>
          </w:p>
        </w:tc>
        <w:tc>
          <w:tcPr>
            <w:tcW w:w="2126" w:type="dxa"/>
          </w:tcPr>
          <w:p w14:paraId="0F70B601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В 68 случаях не смогли извлечь всю информацию;</w:t>
            </w:r>
            <w:r>
              <w:rPr>
                <w:color w:val="auto"/>
                <w:sz w:val="16"/>
              </w:rPr>
              <w:br/>
              <w:t>2) В 47 случаях возникли проблемы с сопоставлением данных внутри каждого случая</w:t>
            </w:r>
          </w:p>
        </w:tc>
        <w:tc>
          <w:tcPr>
            <w:tcW w:w="1418" w:type="dxa"/>
          </w:tcPr>
          <w:p w14:paraId="7202F211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  <w:lang w:val="en-US"/>
              </w:rPr>
              <w:t>нет</w:t>
            </w:r>
            <w:proofErr w:type="spellEnd"/>
          </w:p>
        </w:tc>
        <w:tc>
          <w:tcPr>
            <w:tcW w:w="3260" w:type="dxa"/>
          </w:tcPr>
          <w:p w14:paraId="760D6EBC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повторное обследование поражения после лечения;</w:t>
            </w:r>
            <w:r>
              <w:rPr>
                <w:color w:val="auto"/>
                <w:sz w:val="16"/>
              </w:rPr>
              <w:br/>
              <w:t>2) наличие КТ-изображений с артефактами, влияющими на наблюдение и измерение</w:t>
            </w:r>
          </w:p>
        </w:tc>
        <w:tc>
          <w:tcPr>
            <w:tcW w:w="3686" w:type="dxa"/>
          </w:tcPr>
          <w:p w14:paraId="7C5E062C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1) предоперационная терапия (лучевая терапия, химиотерапия или интервенционная терапия);</w:t>
            </w:r>
            <w:r>
              <w:rPr>
                <w:color w:val="auto"/>
                <w:sz w:val="16"/>
                <w:szCs w:val="16"/>
              </w:rPr>
              <w:br/>
              <w:t>2) другие злокачественные новообразования;</w:t>
            </w:r>
            <w:r>
              <w:rPr>
                <w:color w:val="auto"/>
                <w:sz w:val="16"/>
                <w:szCs w:val="16"/>
              </w:rPr>
              <w:br/>
              <w:t xml:space="preserve">3) послеоперационное патологическое подтверждение многоочаговой </w:t>
            </w:r>
            <w:r>
              <w:rPr>
                <w:rFonts w:eastAsia="Calibri"/>
                <w:color w:val="auto"/>
              </w:rPr>
              <w:t>папиллярной карциномы щитовидной железы</w:t>
            </w:r>
            <w:r>
              <w:rPr>
                <w:color w:val="auto"/>
                <w:sz w:val="16"/>
                <w:szCs w:val="16"/>
              </w:rPr>
              <w:t>;</w:t>
            </w:r>
            <w:r>
              <w:rPr>
                <w:color w:val="auto"/>
                <w:sz w:val="16"/>
                <w:szCs w:val="16"/>
              </w:rPr>
              <w:br/>
            </w:r>
            <w:r>
              <w:rPr>
                <w:color w:val="auto"/>
                <w:sz w:val="16"/>
                <w:szCs w:val="16"/>
              </w:rPr>
              <w:lastRenderedPageBreak/>
              <w:t>4) нечёткие КТ-изображения первичных опухолей, или опухоли слишком малы для сегментации и анализа (максимальный диаметр ≤3 мм)</w:t>
            </w:r>
          </w:p>
        </w:tc>
        <w:tc>
          <w:tcPr>
            <w:tcW w:w="2222" w:type="dxa"/>
          </w:tcPr>
          <w:p w14:paraId="3E1FCB22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lastRenderedPageBreak/>
              <w:t>нет</w:t>
            </w:r>
          </w:p>
        </w:tc>
      </w:tr>
      <w:tr w:rsidR="00A43741" w14:paraId="18F1D432" w14:textId="77777777" w:rsidTr="00BD4B79">
        <w:tc>
          <w:tcPr>
            <w:tcW w:w="1853" w:type="dxa"/>
          </w:tcPr>
          <w:p w14:paraId="4E12C537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Общее число пациентов; средний возраст (лет); доля женщин (%)</w:t>
            </w:r>
          </w:p>
        </w:tc>
        <w:tc>
          <w:tcPr>
            <w:tcW w:w="2126" w:type="dxa"/>
          </w:tcPr>
          <w:p w14:paraId="4124B1D0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183; 61,1–66,4 для разных институтов; 19–29%</w:t>
            </w:r>
          </w:p>
        </w:tc>
        <w:tc>
          <w:tcPr>
            <w:tcW w:w="1418" w:type="dxa"/>
          </w:tcPr>
          <w:p w14:paraId="37C64271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1419; нет </w:t>
            </w:r>
            <w:proofErr w:type="spellStart"/>
            <w:r>
              <w:rPr>
                <w:color w:val="auto"/>
                <w:sz w:val="16"/>
              </w:rPr>
              <w:t>данн</w:t>
            </w:r>
            <w:r>
              <w:rPr>
                <w:color w:val="auto"/>
                <w:sz w:val="16"/>
                <w:lang w:val="en-US"/>
              </w:rPr>
              <w:t>ых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; </w:t>
            </w:r>
            <w:proofErr w:type="spellStart"/>
            <w:r>
              <w:rPr>
                <w:color w:val="auto"/>
                <w:sz w:val="16"/>
                <w:lang w:val="en-US"/>
              </w:rPr>
              <w:t>нет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lang w:val="en-US"/>
              </w:rPr>
              <w:t>данных</w:t>
            </w:r>
            <w:proofErr w:type="spellEnd"/>
          </w:p>
        </w:tc>
        <w:tc>
          <w:tcPr>
            <w:tcW w:w="3260" w:type="dxa"/>
          </w:tcPr>
          <w:p w14:paraId="4BEFC6A3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 xml:space="preserve">276; 50,15–52,87 </w:t>
            </w:r>
            <w:proofErr w:type="spellStart"/>
            <w:r>
              <w:rPr>
                <w:color w:val="auto"/>
                <w:sz w:val="16"/>
                <w:lang w:val="en-US"/>
              </w:rPr>
              <w:t>для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lang w:val="en-US"/>
              </w:rPr>
              <w:t>разных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lang w:val="en-US"/>
              </w:rPr>
              <w:t>групп</w:t>
            </w:r>
            <w:proofErr w:type="spellEnd"/>
            <w:r>
              <w:rPr>
                <w:color w:val="auto"/>
                <w:sz w:val="16"/>
                <w:lang w:val="en-US"/>
              </w:rPr>
              <w:t>; 38,5</w:t>
            </w:r>
            <w:r>
              <w:rPr>
                <w:color w:val="auto"/>
                <w:sz w:val="16"/>
              </w:rPr>
              <w:t>–</w:t>
            </w:r>
            <w:r>
              <w:rPr>
                <w:color w:val="auto"/>
                <w:sz w:val="16"/>
                <w:lang w:val="en-US"/>
              </w:rPr>
              <w:t>45,5%</w:t>
            </w:r>
          </w:p>
        </w:tc>
        <w:tc>
          <w:tcPr>
            <w:tcW w:w="3686" w:type="dxa"/>
          </w:tcPr>
          <w:p w14:paraId="48A43009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178; </w:t>
            </w:r>
            <w:r>
              <w:rPr>
                <w:color w:val="auto"/>
                <w:sz w:val="16"/>
                <w:szCs w:val="16"/>
                <w:lang w:val="en-US"/>
              </w:rPr>
              <w:t>42,55</w:t>
            </w:r>
            <w:r>
              <w:rPr>
                <w:color w:val="auto"/>
                <w:sz w:val="16"/>
                <w:szCs w:val="16"/>
              </w:rPr>
              <w:t>–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49,45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разных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16"/>
                <w:szCs w:val="16"/>
                <w:lang w:val="en-US"/>
              </w:rPr>
              <w:t>групп</w:t>
            </w:r>
            <w:proofErr w:type="spellEnd"/>
            <w:r>
              <w:rPr>
                <w:color w:val="auto"/>
                <w:sz w:val="16"/>
                <w:szCs w:val="16"/>
                <w:lang w:val="en-US"/>
              </w:rPr>
              <w:t>; 75,8%</w:t>
            </w:r>
          </w:p>
        </w:tc>
        <w:tc>
          <w:tcPr>
            <w:tcW w:w="2222" w:type="dxa"/>
          </w:tcPr>
          <w:p w14:paraId="5DD3946C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197; 50; 20,8%</w:t>
            </w:r>
          </w:p>
        </w:tc>
      </w:tr>
      <w:tr w:rsidR="00A43741" w14:paraId="736008A8" w14:textId="77777777" w:rsidTr="00BD4B79">
        <w:tc>
          <w:tcPr>
            <w:tcW w:w="1853" w:type="dxa"/>
            <w:tcBorders>
              <w:top w:val="single" w:sz="4" w:space="0" w:color="auto"/>
            </w:tcBorders>
          </w:tcPr>
          <w:p w14:paraId="1066374B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Положение и тип исследуемых новообразований</w:t>
            </w:r>
          </w:p>
        </w:tc>
        <w:tc>
          <w:tcPr>
            <w:tcW w:w="2126" w:type="dxa"/>
          </w:tcPr>
          <w:p w14:paraId="3C63E368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Опухоли головы и шеи</w:t>
            </w:r>
          </w:p>
        </w:tc>
        <w:tc>
          <w:tcPr>
            <w:tcW w:w="1418" w:type="dxa"/>
          </w:tcPr>
          <w:p w14:paraId="5F17D83C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Опухоли головы и шеи</w:t>
            </w:r>
          </w:p>
        </w:tc>
        <w:tc>
          <w:tcPr>
            <w:tcW w:w="3260" w:type="dxa"/>
          </w:tcPr>
          <w:p w14:paraId="30CF4C44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1) шейные ЛУ (с метастазами в ЛУ, лимфомой и доброкачественной лимфаденопатией);</w:t>
            </w:r>
            <w:r>
              <w:rPr>
                <w:color w:val="auto"/>
                <w:sz w:val="16"/>
                <w:szCs w:val="16"/>
              </w:rPr>
              <w:br/>
              <w:t xml:space="preserve">2) метастатические ЛУ, происходят от первичной карциномы, плоскоклеточного рака головы и шеи, папиллярной карциномы щитовидной железы, рака молочной железы, карциномы лёгкого, меланомы, </w:t>
            </w:r>
            <w:proofErr w:type="spellStart"/>
            <w:r>
              <w:rPr>
                <w:color w:val="auto"/>
                <w:sz w:val="16"/>
                <w:szCs w:val="16"/>
              </w:rPr>
              <w:t>холангиокарциномы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, рака желудка, рака мочевого пузыря, рака толстой кишки; </w:t>
            </w:r>
            <w:r>
              <w:rPr>
                <w:color w:val="auto"/>
                <w:sz w:val="16"/>
                <w:szCs w:val="16"/>
              </w:rPr>
              <w:br/>
              <w:t>3) доброкачественные ЛУ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— реактивная гиперплазия, воспаление (туберкулёз)</w:t>
            </w:r>
          </w:p>
        </w:tc>
        <w:tc>
          <w:tcPr>
            <w:tcW w:w="3686" w:type="dxa"/>
          </w:tcPr>
          <w:p w14:paraId="1BAD97B5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Метастазы в шейных ЛУ; папиллярная карцинома щитовидной железы</w:t>
            </w:r>
          </w:p>
        </w:tc>
        <w:tc>
          <w:tcPr>
            <w:tcW w:w="2222" w:type="dxa"/>
          </w:tcPr>
          <w:p w14:paraId="6DA1CDC6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Опухоли головы и шеи; </w:t>
            </w:r>
            <w:proofErr w:type="spellStart"/>
            <w:r>
              <w:rPr>
                <w:color w:val="auto"/>
                <w:sz w:val="16"/>
                <w:szCs w:val="16"/>
              </w:rPr>
              <w:t>назофарингеальная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карцинома</w:t>
            </w:r>
          </w:p>
        </w:tc>
      </w:tr>
      <w:tr w:rsidR="00A43741" w14:paraId="45C580D5" w14:textId="77777777" w:rsidTr="00BD4B79">
        <w:tc>
          <w:tcPr>
            <w:tcW w:w="1853" w:type="dxa"/>
          </w:tcPr>
          <w:p w14:paraId="46390C3E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Число извлечённых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2126" w:type="dxa"/>
          </w:tcPr>
          <w:p w14:paraId="15978011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1288</w:t>
            </w:r>
          </w:p>
        </w:tc>
        <w:tc>
          <w:tcPr>
            <w:tcW w:w="1418" w:type="dxa"/>
          </w:tcPr>
          <w:p w14:paraId="7018C1F9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5486</w:t>
            </w:r>
          </w:p>
        </w:tc>
        <w:tc>
          <w:tcPr>
            <w:tcW w:w="3260" w:type="dxa"/>
          </w:tcPr>
          <w:p w14:paraId="00D65756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526</w:t>
            </w:r>
          </w:p>
        </w:tc>
        <w:tc>
          <w:tcPr>
            <w:tcW w:w="3686" w:type="dxa"/>
          </w:tcPr>
          <w:p w14:paraId="39E124AE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2553</w:t>
            </w:r>
          </w:p>
        </w:tc>
        <w:tc>
          <w:tcPr>
            <w:tcW w:w="2222" w:type="dxa"/>
          </w:tcPr>
          <w:p w14:paraId="0D490806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842</w:t>
            </w:r>
          </w:p>
        </w:tc>
      </w:tr>
      <w:tr w:rsidR="00A43741" w14:paraId="087A3A09" w14:textId="77777777" w:rsidTr="00BD4B79">
        <w:tc>
          <w:tcPr>
            <w:tcW w:w="1853" w:type="dxa"/>
          </w:tcPr>
          <w:p w14:paraId="44EC3D20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Классы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2126" w:type="dxa"/>
          </w:tcPr>
          <w:p w14:paraId="35F1D4FC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1) признаки формы (14);</w:t>
            </w:r>
            <w:r>
              <w:rPr>
                <w:color w:val="auto"/>
                <w:sz w:val="16"/>
                <w:szCs w:val="16"/>
              </w:rPr>
              <w:br/>
              <w:t>2) признаки первого порядка (18);</w:t>
            </w:r>
            <w:r>
              <w:rPr>
                <w:color w:val="auto"/>
                <w:sz w:val="16"/>
                <w:szCs w:val="16"/>
              </w:rPr>
              <w:br/>
              <w:t>3) признаки второго порядка (22 — МСУС, 16 — МДСУС, 16 — МЗРУС, 14 — МЗУС, 5 — МРССТ)</w:t>
            </w:r>
          </w:p>
        </w:tc>
        <w:tc>
          <w:tcPr>
            <w:tcW w:w="1418" w:type="dxa"/>
          </w:tcPr>
          <w:p w14:paraId="198491A7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рассматриваются</w:t>
            </w:r>
          </w:p>
        </w:tc>
        <w:tc>
          <w:tcPr>
            <w:tcW w:w="3260" w:type="dxa"/>
          </w:tcPr>
          <w:p w14:paraId="0DD47FCC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1) признаки формы (6);</w:t>
            </w:r>
            <w:r>
              <w:rPr>
                <w:color w:val="auto"/>
                <w:sz w:val="16"/>
                <w:szCs w:val="16"/>
              </w:rPr>
              <w:br/>
              <w:t>2) признаки первого порядка (8);</w:t>
            </w:r>
            <w:r>
              <w:rPr>
                <w:color w:val="auto"/>
                <w:sz w:val="16"/>
                <w:szCs w:val="16"/>
              </w:rPr>
              <w:br/>
              <w:t>3) признаки второго порядка (512)</w:t>
            </w:r>
          </w:p>
        </w:tc>
        <w:tc>
          <w:tcPr>
            <w:tcW w:w="3686" w:type="dxa"/>
          </w:tcPr>
          <w:p w14:paraId="2C377D91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1) признаки формы (14);</w:t>
            </w:r>
            <w:r>
              <w:rPr>
                <w:color w:val="auto"/>
                <w:sz w:val="16"/>
                <w:szCs w:val="16"/>
              </w:rPr>
              <w:br/>
              <w:t>2) признаки первого порядка (18)</w:t>
            </w:r>
            <w:r>
              <w:rPr>
                <w:color w:val="auto"/>
                <w:sz w:val="16"/>
                <w:szCs w:val="16"/>
              </w:rPr>
              <w:br/>
              <w:t>3) признаки второго порядка (24 — МСУС, 16 — МДСУС, 16 — МЗРУС, 5 — МРССТ, 14 — МЗУС)</w:t>
            </w:r>
            <w:r>
              <w:rPr>
                <w:color w:val="auto"/>
                <w:sz w:val="16"/>
                <w:szCs w:val="16"/>
              </w:rPr>
              <w:br/>
              <w:t>4) фильтры (744)</w:t>
            </w:r>
          </w:p>
        </w:tc>
        <w:tc>
          <w:tcPr>
            <w:tcW w:w="2222" w:type="dxa"/>
          </w:tcPr>
          <w:p w14:paraId="67D8EFF3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признаки формы, признаки первого порядка, признаки второго порядка, фильтры</w:t>
            </w:r>
          </w:p>
        </w:tc>
      </w:tr>
      <w:tr w:rsidR="00A43741" w14:paraId="389F1B1C" w14:textId="77777777" w:rsidTr="00BD4B79">
        <w:tc>
          <w:tcPr>
            <w:tcW w:w="1853" w:type="dxa"/>
          </w:tcPr>
          <w:p w14:paraId="54112F4E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Использование машинного обучения</w:t>
            </w:r>
          </w:p>
        </w:tc>
        <w:tc>
          <w:tcPr>
            <w:tcW w:w="2126" w:type="dxa"/>
          </w:tcPr>
          <w:p w14:paraId="32509A7B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1418" w:type="dxa"/>
          </w:tcPr>
          <w:p w14:paraId="59431DAD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3260" w:type="dxa"/>
          </w:tcPr>
          <w:p w14:paraId="7ED64A23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да</w:t>
            </w:r>
          </w:p>
        </w:tc>
        <w:tc>
          <w:tcPr>
            <w:tcW w:w="3686" w:type="dxa"/>
          </w:tcPr>
          <w:p w14:paraId="7DE72E2D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2222" w:type="dxa"/>
          </w:tcPr>
          <w:p w14:paraId="28E37227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нет</w:t>
            </w:r>
          </w:p>
        </w:tc>
      </w:tr>
      <w:tr w:rsidR="00A43741" w14:paraId="66E5FC7E" w14:textId="77777777" w:rsidTr="00BD4B79">
        <w:tc>
          <w:tcPr>
            <w:tcW w:w="1853" w:type="dxa"/>
          </w:tcPr>
          <w:p w14:paraId="4ADFCBF3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Число отобранных в качестве значимых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2126" w:type="dxa"/>
          </w:tcPr>
          <w:p w14:paraId="06A00DC3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19 (ЛР), 19 (ОМ), 16 (ОВ)</w:t>
            </w:r>
          </w:p>
        </w:tc>
        <w:tc>
          <w:tcPr>
            <w:tcW w:w="1418" w:type="dxa"/>
          </w:tcPr>
          <w:p w14:paraId="453C9535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Авторы не проводили отбор признаков, приводят значения ВКК для всех признаков</w:t>
            </w:r>
          </w:p>
        </w:tc>
        <w:tc>
          <w:tcPr>
            <w:tcW w:w="3260" w:type="dxa"/>
          </w:tcPr>
          <w:p w14:paraId="4034E1E7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14:paraId="47CB37FB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16 (неконтрастная модель), 15 (артериальная контрастная модель), 11 (венозная контрастная модель), 14 (трехфазная </w:t>
            </w:r>
            <w:proofErr w:type="spellStart"/>
            <w:r>
              <w:rPr>
                <w:color w:val="auto"/>
                <w:sz w:val="16"/>
                <w:szCs w:val="16"/>
              </w:rPr>
              <w:t>радиомическая</w:t>
            </w:r>
            <w:proofErr w:type="spellEnd"/>
            <w:r>
              <w:rPr>
                <w:color w:val="auto"/>
                <w:sz w:val="16"/>
                <w:szCs w:val="16"/>
              </w:rPr>
              <w:t xml:space="preserve"> модель)</w:t>
            </w:r>
          </w:p>
        </w:tc>
        <w:tc>
          <w:tcPr>
            <w:tcW w:w="2222" w:type="dxa"/>
          </w:tcPr>
          <w:p w14:paraId="5A2F6296" w14:textId="77777777" w:rsidR="00A43741" w:rsidRDefault="00A43741" w:rsidP="00BD4B79">
            <w:pPr>
              <w:pStyle w:val="Table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— ОВ, логистическая регрессия;</w:t>
            </w:r>
            <w:r>
              <w:rPr>
                <w:color w:val="auto"/>
                <w:sz w:val="16"/>
                <w:szCs w:val="16"/>
              </w:rPr>
              <w:br/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— ВБП, логистическая регрессия;</w:t>
            </w:r>
            <w:r>
              <w:rPr>
                <w:color w:val="auto"/>
                <w:sz w:val="16"/>
                <w:szCs w:val="16"/>
              </w:rPr>
              <w:br/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— ВБОМ, логистическая регрессия;</w:t>
            </w:r>
            <w:r>
              <w:rPr>
                <w:color w:val="auto"/>
                <w:sz w:val="16"/>
                <w:szCs w:val="16"/>
              </w:rPr>
              <w:br/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— ОВ, регрессия Кокса;</w:t>
            </w:r>
            <w:r>
              <w:rPr>
                <w:color w:val="auto"/>
                <w:sz w:val="16"/>
                <w:szCs w:val="16"/>
              </w:rPr>
              <w:br/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— ВБП, регрессия Кокса;</w:t>
            </w:r>
            <w:r>
              <w:rPr>
                <w:color w:val="auto"/>
                <w:sz w:val="16"/>
                <w:szCs w:val="16"/>
              </w:rPr>
              <w:br/>
              <w:t>4</w:t>
            </w:r>
            <w:r>
              <w:rPr>
                <w:color w:val="auto"/>
                <w:sz w:val="16"/>
                <w:szCs w:val="16"/>
                <w:lang w:val="en-US"/>
              </w:rPr>
              <w:t> </w:t>
            </w:r>
            <w:r>
              <w:rPr>
                <w:color w:val="auto"/>
                <w:sz w:val="16"/>
                <w:szCs w:val="16"/>
              </w:rPr>
              <w:t>— ВБОМ, регрессия Кокса</w:t>
            </w:r>
          </w:p>
        </w:tc>
      </w:tr>
    </w:tbl>
    <w:p w14:paraId="20144C1C" w14:textId="20692518" w:rsidR="00A43741" w:rsidRDefault="00A43741" w:rsidP="00A43741">
      <w:pPr>
        <w:pStyle w:val="TableName"/>
        <w:rPr>
          <w:color w:val="auto"/>
        </w:rPr>
      </w:pPr>
      <w:r>
        <w:rPr>
          <w:color w:val="auto"/>
        </w:rPr>
        <w:lastRenderedPageBreak/>
        <w:t xml:space="preserve">Продолжение </w:t>
      </w:r>
    </w:p>
    <w:tbl>
      <w:tblPr>
        <w:tblStyle w:val="a7"/>
        <w:tblW w:w="14575" w:type="dxa"/>
        <w:tblInd w:w="-15" w:type="dxa"/>
        <w:tblLook w:val="04A0" w:firstRow="1" w:lastRow="0" w:firstColumn="1" w:lastColumn="0" w:noHBand="0" w:noVBand="1"/>
      </w:tblPr>
      <w:tblGrid>
        <w:gridCol w:w="1471"/>
        <w:gridCol w:w="3359"/>
        <w:gridCol w:w="4678"/>
        <w:gridCol w:w="2693"/>
        <w:gridCol w:w="2374"/>
      </w:tblGrid>
      <w:tr w:rsidR="00A43741" w14:paraId="56438195" w14:textId="77777777" w:rsidTr="00BD4B79">
        <w:tc>
          <w:tcPr>
            <w:tcW w:w="14575" w:type="dxa"/>
            <w:gridSpan w:val="5"/>
          </w:tcPr>
          <w:p w14:paraId="45B89BF3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  <w:lang w:val="en-US"/>
              </w:rPr>
            </w:pPr>
            <w:r>
              <w:rPr>
                <w:b/>
                <w:bCs/>
                <w:color w:val="auto"/>
                <w:sz w:val="16"/>
                <w:lang w:val="en-US"/>
              </w:rPr>
              <w:t>2021</w:t>
            </w:r>
          </w:p>
        </w:tc>
      </w:tr>
      <w:tr w:rsidR="00A43741" w14:paraId="5A9A1E64" w14:textId="77777777" w:rsidTr="00BD4B79">
        <w:tc>
          <w:tcPr>
            <w:tcW w:w="1471" w:type="dxa"/>
            <w:vMerge w:val="restart"/>
          </w:tcPr>
          <w:p w14:paraId="76CF15D4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Первый автор,</w:t>
            </w:r>
          </w:p>
        </w:tc>
        <w:tc>
          <w:tcPr>
            <w:tcW w:w="3359" w:type="dxa"/>
            <w:vAlign w:val="center"/>
          </w:tcPr>
          <w:p w14:paraId="01856B04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1</w:t>
            </w:r>
          </w:p>
        </w:tc>
        <w:tc>
          <w:tcPr>
            <w:tcW w:w="4678" w:type="dxa"/>
            <w:vAlign w:val="center"/>
          </w:tcPr>
          <w:p w14:paraId="76673BD0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2</w:t>
            </w:r>
          </w:p>
        </w:tc>
        <w:tc>
          <w:tcPr>
            <w:tcW w:w="2693" w:type="dxa"/>
            <w:vAlign w:val="center"/>
          </w:tcPr>
          <w:p w14:paraId="716E7FB7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3</w:t>
            </w:r>
          </w:p>
        </w:tc>
        <w:tc>
          <w:tcPr>
            <w:tcW w:w="2374" w:type="dxa"/>
            <w:vAlign w:val="center"/>
          </w:tcPr>
          <w:p w14:paraId="37267D1A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4</w:t>
            </w:r>
          </w:p>
        </w:tc>
      </w:tr>
      <w:tr w:rsidR="00A43741" w14:paraId="68D912DB" w14:textId="77777777" w:rsidTr="00BD4B79">
        <w:tc>
          <w:tcPr>
            <w:tcW w:w="1471" w:type="dxa"/>
            <w:vMerge/>
          </w:tcPr>
          <w:p w14:paraId="658CDB43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</w:p>
        </w:tc>
        <w:tc>
          <w:tcPr>
            <w:tcW w:w="3359" w:type="dxa"/>
            <w:vAlign w:val="center"/>
          </w:tcPr>
          <w:p w14:paraId="67C4799F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Morgan H.</w:t>
            </w:r>
          </w:p>
        </w:tc>
        <w:tc>
          <w:tcPr>
            <w:tcW w:w="4678" w:type="dxa"/>
            <w:vAlign w:val="center"/>
          </w:tcPr>
          <w:p w14:paraId="777AB242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Li J.</w:t>
            </w:r>
          </w:p>
        </w:tc>
        <w:tc>
          <w:tcPr>
            <w:tcW w:w="2693" w:type="dxa"/>
            <w:vAlign w:val="center"/>
          </w:tcPr>
          <w:p w14:paraId="39158497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</w:rPr>
              <w:t>Liu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X.</w:t>
            </w:r>
          </w:p>
        </w:tc>
        <w:tc>
          <w:tcPr>
            <w:tcW w:w="2374" w:type="dxa"/>
            <w:vAlign w:val="center"/>
          </w:tcPr>
          <w:p w14:paraId="098C5D04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proofErr w:type="spellStart"/>
            <w:r>
              <w:rPr>
                <w:b/>
                <w:bCs/>
                <w:color w:val="auto"/>
                <w:sz w:val="16"/>
              </w:rPr>
              <w:t>Zhai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T.</w:t>
            </w:r>
          </w:p>
        </w:tc>
      </w:tr>
      <w:tr w:rsidR="00A43741" w:rsidRPr="00A43741" w14:paraId="212AC628" w14:textId="77777777" w:rsidTr="00BD4B79">
        <w:tc>
          <w:tcPr>
            <w:tcW w:w="1471" w:type="dxa"/>
          </w:tcPr>
          <w:p w14:paraId="6AB5426F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Название статьи</w:t>
            </w:r>
          </w:p>
        </w:tc>
        <w:tc>
          <w:tcPr>
            <w:tcW w:w="3359" w:type="dxa"/>
          </w:tcPr>
          <w:p w14:paraId="46C28539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Exploratory ensemble interpretable model for predicting local failure in head and neck cancer: the additive benefit of CT and intra-treatment cone-beam computed tomography features</w:t>
            </w:r>
          </w:p>
        </w:tc>
        <w:tc>
          <w:tcPr>
            <w:tcW w:w="4678" w:type="dxa"/>
          </w:tcPr>
          <w:p w14:paraId="2F7DC0F0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Computed Tomography-Based Radiomics Model to Predict Central Cervical Lymph Node Metastases in Papillary Thyroid Carcinoma: A Multicenter Study</w:t>
            </w:r>
          </w:p>
        </w:tc>
        <w:tc>
          <w:tcPr>
            <w:tcW w:w="2693" w:type="dxa"/>
          </w:tcPr>
          <w:p w14:paraId="065F79E1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Site-Specific Variation in Radiomic Features of Head and Neck Squamous Cell Carcinoma and Its Impact on Machine Learning Models</w:t>
            </w:r>
          </w:p>
        </w:tc>
        <w:tc>
          <w:tcPr>
            <w:tcW w:w="2374" w:type="dxa"/>
          </w:tcPr>
          <w:p w14:paraId="17D3532E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>External validation of nodal failure prediction models including radiomics in head and neck cancer</w:t>
            </w:r>
          </w:p>
        </w:tc>
      </w:tr>
      <w:tr w:rsidR="00A43741" w14:paraId="0E079095" w14:textId="77777777" w:rsidTr="00BD4B79">
        <w:tc>
          <w:tcPr>
            <w:tcW w:w="1471" w:type="dxa"/>
          </w:tcPr>
          <w:p w14:paraId="0100BA16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Журнал, импакт-фактор</w:t>
            </w:r>
          </w:p>
        </w:tc>
        <w:tc>
          <w:tcPr>
            <w:tcW w:w="3359" w:type="dxa"/>
          </w:tcPr>
          <w:p w14:paraId="13EF9165" w14:textId="77777777" w:rsidR="00A43741" w:rsidRDefault="00A43741" w:rsidP="00BD4B79">
            <w:pPr>
              <w:pStyle w:val="TableLeft"/>
              <w:rPr>
                <w:color w:val="auto"/>
                <w:sz w:val="16"/>
                <w:lang w:val="en-US"/>
              </w:rPr>
            </w:pPr>
            <w:r>
              <w:rPr>
                <w:color w:val="auto"/>
                <w:sz w:val="16"/>
                <w:lang w:val="en-US"/>
              </w:rPr>
              <w:t xml:space="preserve">QIMS, </w:t>
            </w:r>
            <w:r>
              <w:rPr>
                <w:color w:val="auto"/>
                <w:sz w:val="16"/>
              </w:rPr>
              <w:t>4.63</w:t>
            </w:r>
          </w:p>
        </w:tc>
        <w:tc>
          <w:tcPr>
            <w:tcW w:w="4678" w:type="dxa"/>
          </w:tcPr>
          <w:p w14:paraId="68A99A65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>Frontiers in Oncology,</w:t>
            </w:r>
            <w:r>
              <w:rPr>
                <w:color w:val="auto"/>
                <w:sz w:val="16"/>
              </w:rPr>
              <w:t xml:space="preserve"> 5.738</w:t>
            </w:r>
          </w:p>
        </w:tc>
        <w:tc>
          <w:tcPr>
            <w:tcW w:w="2693" w:type="dxa"/>
          </w:tcPr>
          <w:p w14:paraId="4D94FDB4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 xml:space="preserve">Cancers, </w:t>
            </w:r>
            <w:r>
              <w:rPr>
                <w:color w:val="auto"/>
                <w:sz w:val="16"/>
              </w:rPr>
              <w:t>6.575</w:t>
            </w:r>
          </w:p>
        </w:tc>
        <w:tc>
          <w:tcPr>
            <w:tcW w:w="2374" w:type="dxa"/>
          </w:tcPr>
          <w:p w14:paraId="67D5BED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</w:rPr>
              <w:t>Oral</w:t>
            </w:r>
            <w:proofErr w:type="spellEnd"/>
            <w:r>
              <w:rPr>
                <w:color w:val="auto"/>
                <w:sz w:val="16"/>
              </w:rPr>
              <w:t xml:space="preserve"> </w:t>
            </w:r>
            <w:proofErr w:type="spellStart"/>
            <w:r>
              <w:rPr>
                <w:color w:val="auto"/>
                <w:sz w:val="16"/>
              </w:rPr>
              <w:t>Oncology</w:t>
            </w:r>
            <w:proofErr w:type="spellEnd"/>
            <w:r>
              <w:rPr>
                <w:color w:val="auto"/>
                <w:sz w:val="16"/>
              </w:rPr>
              <w:t>, 5.972</w:t>
            </w:r>
          </w:p>
        </w:tc>
      </w:tr>
      <w:tr w:rsidR="00A43741" w14:paraId="2736576D" w14:textId="77777777" w:rsidTr="00BD4B79">
        <w:tc>
          <w:tcPr>
            <w:tcW w:w="1471" w:type="dxa"/>
          </w:tcPr>
          <w:p w14:paraId="5342605F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Страна исследования</w:t>
            </w:r>
          </w:p>
        </w:tc>
        <w:tc>
          <w:tcPr>
            <w:tcW w:w="3359" w:type="dxa"/>
          </w:tcPr>
          <w:p w14:paraId="3477F7D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США</w:t>
            </w:r>
          </w:p>
        </w:tc>
        <w:tc>
          <w:tcPr>
            <w:tcW w:w="4678" w:type="dxa"/>
          </w:tcPr>
          <w:p w14:paraId="796C29C7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Китай</w:t>
            </w:r>
          </w:p>
        </w:tc>
        <w:tc>
          <w:tcPr>
            <w:tcW w:w="2693" w:type="dxa"/>
          </w:tcPr>
          <w:p w14:paraId="458BB15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Канада</w:t>
            </w:r>
          </w:p>
        </w:tc>
        <w:tc>
          <w:tcPr>
            <w:tcW w:w="2374" w:type="dxa"/>
          </w:tcPr>
          <w:p w14:paraId="1B1F9F7E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Нидерланды</w:t>
            </w:r>
          </w:p>
        </w:tc>
      </w:tr>
      <w:tr w:rsidR="00A43741" w14:paraId="373164CC" w14:textId="77777777" w:rsidTr="00BD4B79">
        <w:tc>
          <w:tcPr>
            <w:tcW w:w="1471" w:type="dxa"/>
          </w:tcPr>
          <w:p w14:paraId="6AC4C258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Цель исследования</w:t>
            </w:r>
          </w:p>
        </w:tc>
        <w:tc>
          <w:tcPr>
            <w:tcW w:w="3359" w:type="dxa"/>
          </w:tcPr>
          <w:p w14:paraId="19608A54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Оценить </w:t>
            </w:r>
            <w:proofErr w:type="spellStart"/>
            <w:r>
              <w:rPr>
                <w:color w:val="auto"/>
                <w:sz w:val="16"/>
              </w:rPr>
              <w:t>радиомику</w:t>
            </w:r>
            <w:proofErr w:type="spellEnd"/>
            <w:r>
              <w:rPr>
                <w:color w:val="auto"/>
                <w:sz w:val="16"/>
              </w:rPr>
              <w:t xml:space="preserve"> на основе КЛКТ при плоскоклеточном раке головы и шеи для прогнозирования клинических исходов</w:t>
            </w:r>
          </w:p>
        </w:tc>
        <w:tc>
          <w:tcPr>
            <w:tcW w:w="4678" w:type="dxa"/>
          </w:tcPr>
          <w:p w14:paraId="27A7829F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Разработка модели </w:t>
            </w:r>
            <w:proofErr w:type="spellStart"/>
            <w:r>
              <w:rPr>
                <w:color w:val="auto"/>
                <w:sz w:val="16"/>
              </w:rPr>
              <w:t>радиомики</w:t>
            </w:r>
            <w:proofErr w:type="spellEnd"/>
            <w:r>
              <w:rPr>
                <w:color w:val="auto"/>
                <w:sz w:val="16"/>
              </w:rPr>
              <w:t xml:space="preserve"> на основе КТ для прогнозирования метастазов в центральные ЛУ до операции у пациентов с папиллярной карциномой щитовидной железы</w:t>
            </w:r>
          </w:p>
        </w:tc>
        <w:tc>
          <w:tcPr>
            <w:tcW w:w="2693" w:type="dxa"/>
          </w:tcPr>
          <w:p w14:paraId="604AD9E3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Оценить, существуют ли систематические различия между рентгенологическими признаками, основанными на различных участках опухоли при плоскоклеточном раке головы и шеи, и как они могут повлиять на производительность модели машинного обучения при прогнозировании конечной точки</w:t>
            </w:r>
          </w:p>
        </w:tc>
        <w:tc>
          <w:tcPr>
            <w:tcW w:w="2374" w:type="dxa"/>
          </w:tcPr>
          <w:p w14:paraId="3295C849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Валидация ранее опубликованных моделей прогнозирования перед лечением недостаточности ЛУ после окончательной лучевой терапии у пациентов с плоскоклеточным раком головы и шеи</w:t>
            </w:r>
          </w:p>
        </w:tc>
      </w:tr>
      <w:tr w:rsidR="00A43741" w14:paraId="70B21758" w14:textId="77777777" w:rsidTr="00BD4B79">
        <w:tc>
          <w:tcPr>
            <w:tcW w:w="1471" w:type="dxa"/>
          </w:tcPr>
          <w:p w14:paraId="7CF4BC80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Дизайн</w:t>
            </w:r>
          </w:p>
        </w:tc>
        <w:tc>
          <w:tcPr>
            <w:tcW w:w="3359" w:type="dxa"/>
          </w:tcPr>
          <w:p w14:paraId="53F064E6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Ретроспективное, </w:t>
            </w:r>
            <w:proofErr w:type="spellStart"/>
            <w:r>
              <w:rPr>
                <w:color w:val="auto"/>
                <w:sz w:val="16"/>
              </w:rPr>
              <w:t>одноцентровое</w:t>
            </w:r>
            <w:proofErr w:type="spellEnd"/>
          </w:p>
        </w:tc>
        <w:tc>
          <w:tcPr>
            <w:tcW w:w="4678" w:type="dxa"/>
          </w:tcPr>
          <w:p w14:paraId="485BA2B2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Ретроспективное, многоцентровое</w:t>
            </w:r>
          </w:p>
        </w:tc>
        <w:tc>
          <w:tcPr>
            <w:tcW w:w="2693" w:type="dxa"/>
          </w:tcPr>
          <w:p w14:paraId="7E7D6A04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  <w:lang w:val="en-US"/>
              </w:rPr>
              <w:t>Ретроспективное</w:t>
            </w:r>
            <w:proofErr w:type="spellEnd"/>
            <w:r>
              <w:rPr>
                <w:color w:val="auto"/>
                <w:sz w:val="16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 w:val="16"/>
                <w:lang w:val="en-US"/>
              </w:rPr>
              <w:t>одноцентровое</w:t>
            </w:r>
            <w:proofErr w:type="spellEnd"/>
          </w:p>
        </w:tc>
        <w:tc>
          <w:tcPr>
            <w:tcW w:w="2374" w:type="dxa"/>
          </w:tcPr>
          <w:p w14:paraId="2C59161D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Ретроспективное, </w:t>
            </w:r>
            <w:proofErr w:type="spellStart"/>
            <w:r>
              <w:rPr>
                <w:color w:val="auto"/>
                <w:sz w:val="16"/>
              </w:rPr>
              <w:t>одноцентровое</w:t>
            </w:r>
            <w:proofErr w:type="spellEnd"/>
          </w:p>
        </w:tc>
      </w:tr>
      <w:tr w:rsidR="00A43741" w14:paraId="72E7C81F" w14:textId="77777777" w:rsidTr="00BD4B79">
        <w:tc>
          <w:tcPr>
            <w:tcW w:w="1471" w:type="dxa"/>
          </w:tcPr>
          <w:p w14:paraId="7B368FBD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Критерии включения</w:t>
            </w:r>
          </w:p>
        </w:tc>
        <w:tc>
          <w:tcPr>
            <w:tcW w:w="3359" w:type="dxa"/>
          </w:tcPr>
          <w:p w14:paraId="773540C4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диагностирован местно-распространённый HNSCC (включая ротоглотку, надгортанную область, голосовую щель или гортаноглотку);</w:t>
            </w:r>
            <w:r>
              <w:rPr>
                <w:color w:val="auto"/>
                <w:sz w:val="16"/>
              </w:rPr>
              <w:br/>
              <w:t xml:space="preserve">2) пройден полный курс лучевой терапии с ежедневной или еженедельной </w:t>
            </w:r>
            <w:r w:rsidRPr="008A1E61">
              <w:rPr>
                <w:color w:val="auto"/>
                <w:sz w:val="16"/>
              </w:rPr>
              <w:t>КЛКТ</w:t>
            </w:r>
          </w:p>
        </w:tc>
        <w:tc>
          <w:tcPr>
            <w:tcW w:w="4678" w:type="dxa"/>
          </w:tcPr>
          <w:p w14:paraId="510289D3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единичное поражение;</w:t>
            </w:r>
            <w:r>
              <w:rPr>
                <w:color w:val="auto"/>
                <w:sz w:val="16"/>
              </w:rPr>
              <w:br/>
              <w:t>2) гистологически подтверждённая папиллярная карцинома щитовидной железы;</w:t>
            </w:r>
            <w:r>
              <w:rPr>
                <w:color w:val="auto"/>
                <w:sz w:val="16"/>
              </w:rPr>
              <w:br/>
              <w:t>3) отсутствие предоперационного противоопухолевого лечения;</w:t>
            </w:r>
            <w:r>
              <w:rPr>
                <w:color w:val="auto"/>
                <w:sz w:val="16"/>
              </w:rPr>
              <w:br/>
              <w:t xml:space="preserve">4) КТ с контрастированием за 2 недели до операции; </w:t>
            </w:r>
            <w:r>
              <w:rPr>
                <w:color w:val="auto"/>
                <w:sz w:val="16"/>
              </w:rPr>
              <w:br/>
              <w:t xml:space="preserve">5) диссекция шеи с </w:t>
            </w:r>
            <w:proofErr w:type="spellStart"/>
            <w:r>
              <w:rPr>
                <w:color w:val="auto"/>
                <w:sz w:val="16"/>
              </w:rPr>
              <w:t>ипсилатеральной</w:t>
            </w:r>
            <w:proofErr w:type="spellEnd"/>
            <w:r>
              <w:rPr>
                <w:color w:val="auto"/>
                <w:sz w:val="16"/>
              </w:rPr>
              <w:t xml:space="preserve"> </w:t>
            </w:r>
            <w:proofErr w:type="spellStart"/>
            <w:r>
              <w:rPr>
                <w:color w:val="auto"/>
                <w:sz w:val="16"/>
              </w:rPr>
              <w:t>лобэктомией</w:t>
            </w:r>
            <w:proofErr w:type="spellEnd"/>
            <w:r>
              <w:rPr>
                <w:color w:val="auto"/>
                <w:sz w:val="16"/>
              </w:rPr>
              <w:t xml:space="preserve"> или тотальной </w:t>
            </w:r>
            <w:proofErr w:type="spellStart"/>
            <w:r>
              <w:rPr>
                <w:color w:val="auto"/>
                <w:sz w:val="16"/>
              </w:rPr>
              <w:t>тиреоидэктомией</w:t>
            </w:r>
            <w:proofErr w:type="spellEnd"/>
            <w:r>
              <w:rPr>
                <w:color w:val="auto"/>
                <w:sz w:val="16"/>
              </w:rPr>
              <w:t>, патологический диагноз ЛУ</w:t>
            </w:r>
          </w:p>
        </w:tc>
        <w:tc>
          <w:tcPr>
            <w:tcW w:w="2693" w:type="dxa"/>
          </w:tcPr>
          <w:p w14:paraId="696E4FC6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Пациенты с подтверждённой с помощью КТ первичной патологией плоскоклеточного рака головы и шеи до лечения в полости рта, ротоглотке, в гортани или гортаноглотке</w:t>
            </w:r>
          </w:p>
        </w:tc>
        <w:tc>
          <w:tcPr>
            <w:tcW w:w="2374" w:type="dxa"/>
          </w:tcPr>
          <w:p w14:paraId="47F73CE4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Пациенты с доступными данными планирования лучевой терапии на основе КТ с контрастным усилением и стандартной процедурой последующего наблюдения</w:t>
            </w:r>
          </w:p>
        </w:tc>
      </w:tr>
      <w:tr w:rsidR="00A43741" w14:paraId="1BDE0F47" w14:textId="77777777" w:rsidTr="00BD4B79">
        <w:tc>
          <w:tcPr>
            <w:tcW w:w="1471" w:type="dxa"/>
          </w:tcPr>
          <w:p w14:paraId="40F55089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Критерии исключения</w:t>
            </w:r>
          </w:p>
        </w:tc>
        <w:tc>
          <w:tcPr>
            <w:tcW w:w="3359" w:type="dxa"/>
          </w:tcPr>
          <w:p w14:paraId="1E1F7A9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ранее полученная индукционная химиотерапия;</w:t>
            </w:r>
            <w:r>
              <w:rPr>
                <w:color w:val="auto"/>
                <w:sz w:val="16"/>
              </w:rPr>
              <w:br/>
              <w:t>2) период наблюдения менее 1 года без достижения конечной точки ЛРС;</w:t>
            </w:r>
            <w:r>
              <w:rPr>
                <w:color w:val="auto"/>
                <w:sz w:val="16"/>
              </w:rPr>
              <w:br/>
              <w:t>3) ОМ на момент поступления;</w:t>
            </w:r>
            <w:r>
              <w:rPr>
                <w:color w:val="auto"/>
                <w:sz w:val="16"/>
              </w:rPr>
              <w:br/>
              <w:t>4) облучение головы и шеи в анамнезе;</w:t>
            </w:r>
            <w:r>
              <w:rPr>
                <w:color w:val="auto"/>
                <w:sz w:val="16"/>
              </w:rPr>
              <w:br/>
              <w:t>5) наличие отдельного активного злокачественного новообразования;</w:t>
            </w:r>
            <w:r>
              <w:rPr>
                <w:color w:val="auto"/>
                <w:sz w:val="16"/>
              </w:rPr>
              <w:br/>
              <w:t>6) резекция первичных опухолей (кроме случаев заболевания ЛУ, которые не были удалены и были доступны для оценки);</w:t>
            </w:r>
            <w:r>
              <w:rPr>
                <w:color w:val="auto"/>
                <w:sz w:val="16"/>
              </w:rPr>
              <w:br/>
              <w:t>7) смерть пациента наступила до 1 года с неясным статусом его злокачественного новообразования, если оценка ответа на заболевание не могла быть определена</w:t>
            </w:r>
          </w:p>
        </w:tc>
        <w:tc>
          <w:tcPr>
            <w:tcW w:w="4678" w:type="dxa"/>
          </w:tcPr>
          <w:p w14:paraId="38AF2FD3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 xml:space="preserve">1) послеоперационное патологоанатомическое исследование показало сопутствующие компоненты поражения, не относящиеся к </w:t>
            </w:r>
            <w:r>
              <w:rPr>
                <w:rFonts w:eastAsia="Calibri"/>
                <w:color w:val="auto"/>
              </w:rPr>
              <w:t>папиллярной карциноме щитовидной железы</w:t>
            </w:r>
            <w:r>
              <w:rPr>
                <w:color w:val="auto"/>
                <w:sz w:val="16"/>
              </w:rPr>
              <w:t xml:space="preserve"> (такие как атипическая гиперплазия, фолликулярные опухоли, медуллярные карциномы, недифференцированные карциномы и метастатические карциномы);</w:t>
            </w:r>
            <w:r>
              <w:rPr>
                <w:color w:val="auto"/>
                <w:sz w:val="16"/>
              </w:rPr>
              <w:br/>
              <w:t>2) биопсия выполнена перед КТ</w:t>
            </w:r>
            <w:r>
              <w:rPr>
                <w:color w:val="auto"/>
                <w:sz w:val="16"/>
              </w:rPr>
              <w:br/>
              <w:t>3) Отсутствует предоперационная КТ щитовидной железы</w:t>
            </w:r>
            <w:r>
              <w:rPr>
                <w:color w:val="auto"/>
                <w:sz w:val="16"/>
              </w:rPr>
              <w:br/>
              <w:t>4) Присутствуют другие сопутствующие злокачественные новообразования (лимфома, рак молочной железы или рак печени)</w:t>
            </w:r>
            <w:r>
              <w:rPr>
                <w:color w:val="auto"/>
                <w:sz w:val="16"/>
              </w:rPr>
              <w:br/>
              <w:t>5) Первичная опухоль была нечёткой на КТ-изображениях</w:t>
            </w:r>
            <w:r>
              <w:rPr>
                <w:color w:val="auto"/>
                <w:sz w:val="16"/>
              </w:rPr>
              <w:br/>
              <w:t>6) Первичная опухоль имела максимальный диаметр &lt;0,5 см</w:t>
            </w:r>
            <w:r>
              <w:rPr>
                <w:color w:val="auto"/>
                <w:sz w:val="16"/>
              </w:rPr>
              <w:br/>
              <w:t xml:space="preserve">7) Первичную опухоль было трудно сегментировать из-за узлового зоба или хронического </w:t>
            </w:r>
            <w:proofErr w:type="spellStart"/>
            <w:r>
              <w:rPr>
                <w:color w:val="auto"/>
                <w:sz w:val="16"/>
              </w:rPr>
              <w:t>лимфоцитарного</w:t>
            </w:r>
            <w:proofErr w:type="spellEnd"/>
            <w:r>
              <w:rPr>
                <w:color w:val="auto"/>
                <w:sz w:val="16"/>
              </w:rPr>
              <w:t xml:space="preserve"> тиреоидита</w:t>
            </w:r>
          </w:p>
          <w:p w14:paraId="33CA8F3D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8) Послеоперационное патологическое исследование показало мультифокальную папиллярную карциному щитовидной железы</w:t>
            </w:r>
          </w:p>
        </w:tc>
        <w:tc>
          <w:tcPr>
            <w:tcW w:w="2693" w:type="dxa"/>
          </w:tcPr>
          <w:p w14:paraId="7CE5EBF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proofErr w:type="spellStart"/>
            <w:r>
              <w:rPr>
                <w:color w:val="auto"/>
                <w:sz w:val="16"/>
                <w:lang w:val="en-US"/>
              </w:rPr>
              <w:t>нет</w:t>
            </w:r>
            <w:proofErr w:type="spellEnd"/>
          </w:p>
        </w:tc>
        <w:tc>
          <w:tcPr>
            <w:tcW w:w="2374" w:type="dxa"/>
          </w:tcPr>
          <w:p w14:paraId="1B9AC757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хирургическое вмешательство на шее выполнялось до лучевой терапии;</w:t>
            </w:r>
            <w:r>
              <w:rPr>
                <w:color w:val="auto"/>
                <w:sz w:val="16"/>
              </w:rPr>
              <w:br/>
              <w:t>2) были обнаружены металлические артефакты КТ в области патологических ЛУ</w:t>
            </w:r>
          </w:p>
        </w:tc>
      </w:tr>
    </w:tbl>
    <w:p w14:paraId="30FCD2E3" w14:textId="77777777" w:rsidR="00A43741" w:rsidRDefault="00A43741" w:rsidP="00A43741">
      <w:pPr>
        <w:spacing w:line="240" w:lineRule="auto"/>
        <w:ind w:left="0" w:right="0"/>
        <w:jc w:val="left"/>
      </w:pPr>
      <w:r>
        <w:t xml:space="preserve"> </w:t>
      </w:r>
    </w:p>
    <w:p w14:paraId="6E331BDD" w14:textId="7CC0C236" w:rsidR="00A43741" w:rsidRDefault="00A43741" w:rsidP="00A43741">
      <w:pPr>
        <w:pStyle w:val="TableName"/>
        <w:rPr>
          <w:color w:val="auto"/>
        </w:rPr>
      </w:pPr>
      <w:r>
        <w:rPr>
          <w:color w:val="auto"/>
        </w:rPr>
        <w:t xml:space="preserve">Окончание </w:t>
      </w:r>
    </w:p>
    <w:tbl>
      <w:tblPr>
        <w:tblStyle w:val="a7"/>
        <w:tblW w:w="14575" w:type="dxa"/>
        <w:tblInd w:w="-15" w:type="dxa"/>
        <w:tblLook w:val="04A0" w:firstRow="1" w:lastRow="0" w:firstColumn="1" w:lastColumn="0" w:noHBand="0" w:noVBand="1"/>
      </w:tblPr>
      <w:tblGrid>
        <w:gridCol w:w="2845"/>
        <w:gridCol w:w="3261"/>
        <w:gridCol w:w="3402"/>
        <w:gridCol w:w="2693"/>
        <w:gridCol w:w="2374"/>
      </w:tblGrid>
      <w:tr w:rsidR="00A43741" w14:paraId="48A2BE39" w14:textId="77777777" w:rsidTr="00BD4B79">
        <w:tc>
          <w:tcPr>
            <w:tcW w:w="28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C0DF7A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374A1E44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1</w:t>
            </w:r>
          </w:p>
        </w:tc>
        <w:tc>
          <w:tcPr>
            <w:tcW w:w="3402" w:type="dxa"/>
          </w:tcPr>
          <w:p w14:paraId="3177F377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2</w:t>
            </w:r>
          </w:p>
        </w:tc>
        <w:tc>
          <w:tcPr>
            <w:tcW w:w="2693" w:type="dxa"/>
          </w:tcPr>
          <w:p w14:paraId="61C3F11F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3</w:t>
            </w:r>
          </w:p>
        </w:tc>
        <w:tc>
          <w:tcPr>
            <w:tcW w:w="2374" w:type="dxa"/>
          </w:tcPr>
          <w:p w14:paraId="35062ABF" w14:textId="77777777" w:rsidR="00A43741" w:rsidRDefault="00A43741" w:rsidP="00BD4B79">
            <w:pPr>
              <w:pStyle w:val="TableCenter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4</w:t>
            </w:r>
          </w:p>
        </w:tc>
      </w:tr>
      <w:tr w:rsidR="00A43741" w14:paraId="343956F6" w14:textId="77777777" w:rsidTr="00BD4B79">
        <w:tc>
          <w:tcPr>
            <w:tcW w:w="2845" w:type="dxa"/>
            <w:tcBorders>
              <w:top w:val="single" w:sz="4" w:space="0" w:color="auto"/>
            </w:tcBorders>
          </w:tcPr>
          <w:p w14:paraId="26686C92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Общее число пациентов; средний возраст (лет); доля женщин (%)</w:t>
            </w:r>
          </w:p>
        </w:tc>
        <w:tc>
          <w:tcPr>
            <w:tcW w:w="3261" w:type="dxa"/>
          </w:tcPr>
          <w:p w14:paraId="0F19EB0B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57; нет данных; нет данных</w:t>
            </w:r>
          </w:p>
        </w:tc>
        <w:tc>
          <w:tcPr>
            <w:tcW w:w="3402" w:type="dxa"/>
          </w:tcPr>
          <w:p w14:paraId="705ABBD7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678; 44; 73,8%</w:t>
            </w:r>
          </w:p>
        </w:tc>
        <w:tc>
          <w:tcPr>
            <w:tcW w:w="2693" w:type="dxa"/>
          </w:tcPr>
          <w:p w14:paraId="63E525CF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  <w:lang w:val="en-US"/>
              </w:rPr>
              <w:t>605; 64; 21,8%</w:t>
            </w:r>
          </w:p>
        </w:tc>
        <w:tc>
          <w:tcPr>
            <w:tcW w:w="2374" w:type="dxa"/>
          </w:tcPr>
          <w:p w14:paraId="68E85608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257; 62; 26,5%</w:t>
            </w:r>
          </w:p>
        </w:tc>
      </w:tr>
      <w:tr w:rsidR="00A43741" w14:paraId="3997DE13" w14:textId="77777777" w:rsidTr="00BD4B79">
        <w:tc>
          <w:tcPr>
            <w:tcW w:w="2845" w:type="dxa"/>
          </w:tcPr>
          <w:p w14:paraId="16C9DDFB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Положение и тип исследуемых новообразований</w:t>
            </w:r>
          </w:p>
        </w:tc>
        <w:tc>
          <w:tcPr>
            <w:tcW w:w="3261" w:type="dxa"/>
          </w:tcPr>
          <w:p w14:paraId="5955AC04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Ротоглотка, надгортанная, голосовая или гортаноглотка; плоскоклеточный рак головы и шеи</w:t>
            </w:r>
          </w:p>
        </w:tc>
        <w:tc>
          <w:tcPr>
            <w:tcW w:w="3402" w:type="dxa"/>
          </w:tcPr>
          <w:p w14:paraId="46B4FA62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Метастазы шейных ЛУ; папиллярная карцинома щитовидной железы</w:t>
            </w:r>
          </w:p>
        </w:tc>
        <w:tc>
          <w:tcPr>
            <w:tcW w:w="2693" w:type="dxa"/>
          </w:tcPr>
          <w:p w14:paraId="27F64EC8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Полость рта, ротоглотки, гортани и гортаноглотки; плоскоклеточный рак головы и шеи</w:t>
            </w:r>
          </w:p>
        </w:tc>
        <w:tc>
          <w:tcPr>
            <w:tcW w:w="2374" w:type="dxa"/>
          </w:tcPr>
          <w:p w14:paraId="2F390594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Полость рта, глотки или гортань; плоскоклеточный рак головы и шеи</w:t>
            </w:r>
          </w:p>
        </w:tc>
      </w:tr>
      <w:tr w:rsidR="00A43741" w14:paraId="5116EAA8" w14:textId="77777777" w:rsidTr="00BD4B79">
        <w:tc>
          <w:tcPr>
            <w:tcW w:w="2845" w:type="dxa"/>
          </w:tcPr>
          <w:p w14:paraId="122F5A8B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Число извлечённых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3261" w:type="dxa"/>
          </w:tcPr>
          <w:p w14:paraId="3DB13F98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102</w:t>
            </w:r>
          </w:p>
        </w:tc>
        <w:tc>
          <w:tcPr>
            <w:tcW w:w="3402" w:type="dxa"/>
          </w:tcPr>
          <w:p w14:paraId="53E16D6E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4227</w:t>
            </w:r>
          </w:p>
        </w:tc>
        <w:tc>
          <w:tcPr>
            <w:tcW w:w="2693" w:type="dxa"/>
          </w:tcPr>
          <w:p w14:paraId="0A2FEC2E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36</w:t>
            </w:r>
          </w:p>
        </w:tc>
        <w:tc>
          <w:tcPr>
            <w:tcW w:w="2374" w:type="dxa"/>
          </w:tcPr>
          <w:p w14:paraId="6B8464AB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82</w:t>
            </w:r>
          </w:p>
        </w:tc>
      </w:tr>
      <w:tr w:rsidR="00A43741" w14:paraId="62A3A6A5" w14:textId="77777777" w:rsidTr="00BD4B79">
        <w:tc>
          <w:tcPr>
            <w:tcW w:w="2845" w:type="dxa"/>
          </w:tcPr>
          <w:p w14:paraId="773516A7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Классы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3261" w:type="dxa"/>
          </w:tcPr>
          <w:p w14:paraId="4AB30CE3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1) признаки формы (14);</w:t>
            </w:r>
            <w:r>
              <w:rPr>
                <w:color w:val="auto"/>
                <w:sz w:val="16"/>
              </w:rPr>
              <w:br/>
              <w:t>2) признаки первого порядка (18);</w:t>
            </w:r>
            <w:r>
              <w:rPr>
                <w:color w:val="auto"/>
                <w:sz w:val="16"/>
              </w:rPr>
              <w:br/>
              <w:t>3) признаки второго порядка (24 — МСУС, 16 — МДСУС, 16 — МЗРУС, 14 — МЗУС)</w:t>
            </w:r>
          </w:p>
        </w:tc>
        <w:tc>
          <w:tcPr>
            <w:tcW w:w="3402" w:type="dxa"/>
          </w:tcPr>
          <w:p w14:paraId="520242FF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Не рассматриваются</w:t>
            </w:r>
            <w:r>
              <w:rPr>
                <w:color w:val="auto"/>
                <w:sz w:val="16"/>
              </w:rPr>
              <w:tab/>
            </w:r>
          </w:p>
        </w:tc>
        <w:tc>
          <w:tcPr>
            <w:tcW w:w="2693" w:type="dxa"/>
          </w:tcPr>
          <w:p w14:paraId="3BD10502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Признаки первого порядка</w:t>
            </w:r>
          </w:p>
        </w:tc>
        <w:tc>
          <w:tcPr>
            <w:tcW w:w="2374" w:type="dxa"/>
          </w:tcPr>
          <w:p w14:paraId="5CB9E56E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Не рассматриваются</w:t>
            </w:r>
          </w:p>
        </w:tc>
      </w:tr>
      <w:tr w:rsidR="00A43741" w14:paraId="6545C3FB" w14:textId="77777777" w:rsidTr="00BD4B79">
        <w:tc>
          <w:tcPr>
            <w:tcW w:w="2845" w:type="dxa"/>
          </w:tcPr>
          <w:p w14:paraId="3B3CE12E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>Использование машинного обучения</w:t>
            </w:r>
          </w:p>
        </w:tc>
        <w:tc>
          <w:tcPr>
            <w:tcW w:w="3261" w:type="dxa"/>
          </w:tcPr>
          <w:p w14:paraId="2997885D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да</w:t>
            </w:r>
          </w:p>
        </w:tc>
        <w:tc>
          <w:tcPr>
            <w:tcW w:w="3402" w:type="dxa"/>
          </w:tcPr>
          <w:p w14:paraId="35572BC8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да</w:t>
            </w:r>
          </w:p>
        </w:tc>
        <w:tc>
          <w:tcPr>
            <w:tcW w:w="2693" w:type="dxa"/>
          </w:tcPr>
          <w:p w14:paraId="6C3762E2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да</w:t>
            </w:r>
          </w:p>
        </w:tc>
        <w:tc>
          <w:tcPr>
            <w:tcW w:w="2374" w:type="dxa"/>
          </w:tcPr>
          <w:p w14:paraId="23D96007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нет</w:t>
            </w:r>
          </w:p>
        </w:tc>
      </w:tr>
      <w:tr w:rsidR="00A43741" w14:paraId="08DE110F" w14:textId="77777777" w:rsidTr="00BD4B79">
        <w:tc>
          <w:tcPr>
            <w:tcW w:w="2845" w:type="dxa"/>
          </w:tcPr>
          <w:p w14:paraId="407C736A" w14:textId="77777777" w:rsidR="00A43741" w:rsidRDefault="00A43741" w:rsidP="00BD4B79">
            <w:pPr>
              <w:pStyle w:val="TableLeft"/>
              <w:rPr>
                <w:b/>
                <w:bCs/>
                <w:color w:val="auto"/>
                <w:sz w:val="16"/>
              </w:rPr>
            </w:pPr>
            <w:r>
              <w:rPr>
                <w:b/>
                <w:bCs/>
                <w:color w:val="auto"/>
                <w:sz w:val="16"/>
              </w:rPr>
              <w:t xml:space="preserve">Число отобранных в качестве значимых </w:t>
            </w:r>
            <w:proofErr w:type="spellStart"/>
            <w:r>
              <w:rPr>
                <w:b/>
                <w:bCs/>
                <w:color w:val="auto"/>
                <w:sz w:val="16"/>
              </w:rPr>
              <w:t>радиомических</w:t>
            </w:r>
            <w:proofErr w:type="spellEnd"/>
            <w:r>
              <w:rPr>
                <w:b/>
                <w:bCs/>
                <w:color w:val="auto"/>
                <w:sz w:val="16"/>
              </w:rPr>
              <w:t xml:space="preserve"> признаков</w:t>
            </w:r>
          </w:p>
        </w:tc>
        <w:tc>
          <w:tcPr>
            <w:tcW w:w="3261" w:type="dxa"/>
          </w:tcPr>
          <w:p w14:paraId="01646D52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Авторы не проводили отбор признаков, приводят число повторов в 125 репликах для всех признаков</w:t>
            </w:r>
          </w:p>
        </w:tc>
        <w:tc>
          <w:tcPr>
            <w:tcW w:w="3402" w:type="dxa"/>
          </w:tcPr>
          <w:p w14:paraId="04C2A508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14</w:t>
            </w:r>
          </w:p>
        </w:tc>
        <w:tc>
          <w:tcPr>
            <w:tcW w:w="2693" w:type="dxa"/>
          </w:tcPr>
          <w:p w14:paraId="3A41C6E6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5</w:t>
            </w:r>
          </w:p>
        </w:tc>
        <w:tc>
          <w:tcPr>
            <w:tcW w:w="2374" w:type="dxa"/>
          </w:tcPr>
          <w:p w14:paraId="0878443A" w14:textId="77777777" w:rsidR="00A43741" w:rsidRDefault="00A43741" w:rsidP="00BD4B79">
            <w:pPr>
              <w:pStyle w:val="TableLeft"/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2</w:t>
            </w:r>
          </w:p>
        </w:tc>
      </w:tr>
    </w:tbl>
    <w:p w14:paraId="4A411177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Примечание. Список используемых сокращений:</w:t>
      </w:r>
    </w:p>
    <w:p w14:paraId="3D47D1BB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ВБОМ — выживаемость без отдалённых метастазов;</w:t>
      </w:r>
    </w:p>
    <w:p w14:paraId="0745C210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lastRenderedPageBreak/>
        <w:t>ВБП — выживаемость без прогрессирования;</w:t>
      </w:r>
    </w:p>
    <w:p w14:paraId="1A328C19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ВКК — внутриклассовый коэффициент корреляции;</w:t>
      </w:r>
    </w:p>
    <w:p w14:paraId="20355BF9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ВПЧ — вирус папилломы человека;</w:t>
      </w:r>
    </w:p>
    <w:p w14:paraId="3A161E79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КЛКТ – конусно-лучевая компьютерная томография CBCT;</w:t>
      </w:r>
    </w:p>
    <w:p w14:paraId="7D9BD894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КТ — компьютерная томография;</w:t>
      </w:r>
    </w:p>
    <w:p w14:paraId="5ED090B0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 xml:space="preserve">ЛР — </w:t>
      </w:r>
      <w:proofErr w:type="spellStart"/>
      <w:r>
        <w:rPr>
          <w:rFonts w:eastAsia="Calibri"/>
        </w:rPr>
        <w:t>локорегиональные</w:t>
      </w:r>
      <w:proofErr w:type="spellEnd"/>
      <w:r>
        <w:rPr>
          <w:rFonts w:eastAsia="Calibri"/>
        </w:rPr>
        <w:t xml:space="preserve"> рецидивы; </w:t>
      </w:r>
    </w:p>
    <w:p w14:paraId="024B9193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 xml:space="preserve">ЛРС — </w:t>
      </w:r>
      <w:proofErr w:type="spellStart"/>
      <w:r>
        <w:rPr>
          <w:rFonts w:eastAsia="Calibri"/>
        </w:rPr>
        <w:t>локорегиональный</w:t>
      </w:r>
      <w:proofErr w:type="spellEnd"/>
      <w:r>
        <w:rPr>
          <w:rFonts w:eastAsia="Calibri"/>
        </w:rPr>
        <w:t xml:space="preserve"> сбой;</w:t>
      </w:r>
    </w:p>
    <w:p w14:paraId="281C5B84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 xml:space="preserve">ЛУ — лимфатические узлы; </w:t>
      </w:r>
    </w:p>
    <w:p w14:paraId="62EFA9C0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МДСУС — Матрица длин серий уровней серого (</w:t>
      </w:r>
      <w:proofErr w:type="spellStart"/>
      <w:r>
        <w:rPr>
          <w:rFonts w:eastAsia="Calibri"/>
        </w:rPr>
        <w:t>Gray</w:t>
      </w:r>
      <w:proofErr w:type="spellEnd"/>
      <w:r>
        <w:rPr>
          <w:rFonts w:eastAsia="Calibri"/>
        </w:rPr>
        <w:t xml:space="preserve"> Level </w:t>
      </w:r>
      <w:proofErr w:type="spellStart"/>
      <w:r>
        <w:rPr>
          <w:rFonts w:eastAsia="Calibri"/>
        </w:rPr>
        <w:t>Run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Length</w:t>
      </w:r>
      <w:proofErr w:type="spellEnd"/>
      <w:r>
        <w:rPr>
          <w:rFonts w:eastAsia="Calibri"/>
        </w:rPr>
        <w:t xml:space="preserve"> Matrix);</w:t>
      </w:r>
    </w:p>
    <w:p w14:paraId="1F501094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МЗРУС — Матрица зон размера уровня серого (</w:t>
      </w:r>
      <w:proofErr w:type="spellStart"/>
      <w:r>
        <w:rPr>
          <w:rFonts w:eastAsia="Calibri"/>
        </w:rPr>
        <w:t>Gray</w:t>
      </w:r>
      <w:proofErr w:type="spellEnd"/>
      <w:r>
        <w:rPr>
          <w:rFonts w:eastAsia="Calibri"/>
        </w:rPr>
        <w:t xml:space="preserve"> Level </w:t>
      </w:r>
      <w:proofErr w:type="spellStart"/>
      <w:r>
        <w:rPr>
          <w:rFonts w:eastAsia="Calibri"/>
        </w:rPr>
        <w:t>Size</w:t>
      </w:r>
      <w:proofErr w:type="spellEnd"/>
      <w:r>
        <w:rPr>
          <w:rFonts w:eastAsia="Calibri"/>
        </w:rPr>
        <w:t xml:space="preserve"> Zone Matrix);</w:t>
      </w:r>
    </w:p>
    <w:p w14:paraId="5D98D1D5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МЗУС — Матрица зависимости уровня серого (</w:t>
      </w:r>
      <w:proofErr w:type="spellStart"/>
      <w:r>
        <w:rPr>
          <w:rFonts w:eastAsia="Calibri"/>
        </w:rPr>
        <w:t>Gray</w:t>
      </w:r>
      <w:proofErr w:type="spellEnd"/>
      <w:r>
        <w:rPr>
          <w:rFonts w:eastAsia="Calibri"/>
        </w:rPr>
        <w:t xml:space="preserve"> Level </w:t>
      </w:r>
      <w:proofErr w:type="spellStart"/>
      <w:r>
        <w:rPr>
          <w:rFonts w:eastAsia="Calibri"/>
        </w:rPr>
        <w:t>Dependence</w:t>
      </w:r>
      <w:proofErr w:type="spellEnd"/>
      <w:r>
        <w:rPr>
          <w:rFonts w:eastAsia="Calibri"/>
        </w:rPr>
        <w:t xml:space="preserve"> Matrix);</w:t>
      </w:r>
    </w:p>
    <w:p w14:paraId="4AB6D0F0" w14:textId="77777777" w:rsidR="00A43741" w:rsidRDefault="00A43741" w:rsidP="00A43741">
      <w:pPr>
        <w:pStyle w:val="TablNote"/>
        <w:rPr>
          <w:rFonts w:eastAsia="Calibri"/>
          <w:lang w:val="en-US"/>
        </w:rPr>
      </w:pPr>
      <w:r>
        <w:rPr>
          <w:rFonts w:eastAsia="Calibri"/>
        </w:rPr>
        <w:t>МРССТ</w:t>
      </w:r>
      <w:r>
        <w:rPr>
          <w:rFonts w:eastAsia="Calibri"/>
          <w:lang w:val="en-US"/>
        </w:rPr>
        <w:t xml:space="preserve"> — </w:t>
      </w:r>
      <w:r>
        <w:rPr>
          <w:rFonts w:eastAsia="Calibri"/>
        </w:rPr>
        <w:t>Матрица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различий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соседних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серых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тонов</w:t>
      </w:r>
      <w:r>
        <w:rPr>
          <w:rFonts w:eastAsia="Calibri"/>
          <w:lang w:val="en-US"/>
        </w:rPr>
        <w:t xml:space="preserve"> (</w:t>
      </w:r>
      <w:proofErr w:type="spellStart"/>
      <w:r>
        <w:rPr>
          <w:rFonts w:eastAsia="Calibri"/>
          <w:lang w:val="en-US"/>
        </w:rPr>
        <w:t>Neighbouring</w:t>
      </w:r>
      <w:proofErr w:type="spellEnd"/>
      <w:r>
        <w:rPr>
          <w:rFonts w:eastAsia="Calibri"/>
          <w:lang w:val="en-US"/>
        </w:rPr>
        <w:t xml:space="preserve"> Gray Tone Difference Matrix);</w:t>
      </w:r>
    </w:p>
    <w:p w14:paraId="627A6AFD" w14:textId="77777777" w:rsidR="00A43741" w:rsidRDefault="00A43741" w:rsidP="00A43741">
      <w:pPr>
        <w:pStyle w:val="TablNote"/>
        <w:rPr>
          <w:rFonts w:eastAsia="Calibri"/>
          <w:lang w:val="en-US"/>
        </w:rPr>
      </w:pPr>
      <w:r>
        <w:rPr>
          <w:rFonts w:eastAsia="Calibri"/>
        </w:rPr>
        <w:t>МСУС</w:t>
      </w:r>
      <w:r>
        <w:rPr>
          <w:rFonts w:eastAsia="Calibri"/>
          <w:lang w:val="en-US"/>
        </w:rPr>
        <w:t xml:space="preserve"> — </w:t>
      </w:r>
      <w:r>
        <w:rPr>
          <w:rFonts w:eastAsia="Calibri"/>
        </w:rPr>
        <w:t>Матрица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совпадений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уровней</w:t>
      </w:r>
      <w:r>
        <w:rPr>
          <w:rFonts w:eastAsia="Calibri"/>
          <w:lang w:val="en-US"/>
        </w:rPr>
        <w:t xml:space="preserve"> </w:t>
      </w:r>
      <w:r>
        <w:rPr>
          <w:rFonts w:eastAsia="Calibri"/>
        </w:rPr>
        <w:t>серого</w:t>
      </w:r>
      <w:r>
        <w:rPr>
          <w:rFonts w:eastAsia="Calibri"/>
          <w:lang w:val="en-US"/>
        </w:rPr>
        <w:t xml:space="preserve"> (Gray Level Co-occurrence Matrix);</w:t>
      </w:r>
    </w:p>
    <w:p w14:paraId="0D676A05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ОВ — общая выживаемость</w:t>
      </w:r>
    </w:p>
    <w:p w14:paraId="535AE9D4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>ОМ — отдалённые метастазы;</w:t>
      </w:r>
    </w:p>
    <w:p w14:paraId="61C943B4" w14:textId="77777777" w:rsidR="00A43741" w:rsidRDefault="00A43741" w:rsidP="00A43741">
      <w:pPr>
        <w:pStyle w:val="TablNote"/>
        <w:rPr>
          <w:rFonts w:eastAsia="Calibri"/>
        </w:rPr>
      </w:pPr>
      <w:r>
        <w:rPr>
          <w:rFonts w:eastAsia="Calibri"/>
        </w:rPr>
        <w:t xml:space="preserve">ПЭТ/КТ </w:t>
      </w:r>
      <w:r>
        <w:rPr>
          <w:rFonts w:eastAsia="Calibri"/>
          <w:lang w:val="en-US"/>
        </w:rPr>
        <w:t>c</w:t>
      </w:r>
      <w:r>
        <w:rPr>
          <w:rFonts w:eastAsia="Calibri"/>
        </w:rPr>
        <w:t xml:space="preserve"> </w:t>
      </w:r>
      <w:r>
        <w:rPr>
          <w:rFonts w:eastAsia="Calibri"/>
          <w:vertAlign w:val="superscript"/>
        </w:rPr>
        <w:t>18</w:t>
      </w:r>
      <w:r>
        <w:rPr>
          <w:rFonts w:eastAsia="Calibri"/>
        </w:rPr>
        <w:t xml:space="preserve">F-ФДГ — позитронно-эмиссионная томография, совмещённая с компьютерной томографией, с использованием с </w:t>
      </w:r>
      <w:r>
        <w:rPr>
          <w:rFonts w:eastAsia="Calibri"/>
          <w:vertAlign w:val="superscript"/>
        </w:rPr>
        <w:t>18</w:t>
      </w:r>
      <w:r>
        <w:rPr>
          <w:rFonts w:eastAsia="Calibri"/>
          <w:lang w:val="en-US"/>
        </w:rPr>
        <w:t>F</w:t>
      </w:r>
      <w:r>
        <w:rPr>
          <w:rFonts w:eastAsia="Calibri"/>
        </w:rPr>
        <w:t>-</w:t>
      </w:r>
      <w:proofErr w:type="spellStart"/>
      <w:r>
        <w:rPr>
          <w:rFonts w:eastAsia="Calibri"/>
        </w:rPr>
        <w:t>фтордезоксиглюкозы</w:t>
      </w:r>
      <w:proofErr w:type="spellEnd"/>
      <w:r>
        <w:rPr>
          <w:rFonts w:eastAsia="Calibri"/>
        </w:rPr>
        <w:t>.</w:t>
      </w:r>
    </w:p>
    <w:p w14:paraId="6C8C9253" w14:textId="77777777" w:rsidR="00B61731" w:rsidRDefault="00B61731"/>
    <w:sectPr w:rsidR="00B6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41"/>
    <w:rsid w:val="00012309"/>
    <w:rsid w:val="00022A70"/>
    <w:rsid w:val="00025D51"/>
    <w:rsid w:val="00031A99"/>
    <w:rsid w:val="00047357"/>
    <w:rsid w:val="000509FA"/>
    <w:rsid w:val="00057A4C"/>
    <w:rsid w:val="00062CA9"/>
    <w:rsid w:val="00064003"/>
    <w:rsid w:val="00072465"/>
    <w:rsid w:val="00075A1C"/>
    <w:rsid w:val="00081818"/>
    <w:rsid w:val="00090F1A"/>
    <w:rsid w:val="00093755"/>
    <w:rsid w:val="000A6426"/>
    <w:rsid w:val="000A7E99"/>
    <w:rsid w:val="000C61B2"/>
    <w:rsid w:val="000D5B77"/>
    <w:rsid w:val="000D78E9"/>
    <w:rsid w:val="000E41C2"/>
    <w:rsid w:val="000F24F4"/>
    <w:rsid w:val="00101D9B"/>
    <w:rsid w:val="001164F0"/>
    <w:rsid w:val="00120506"/>
    <w:rsid w:val="00121DA3"/>
    <w:rsid w:val="00126ECC"/>
    <w:rsid w:val="00127114"/>
    <w:rsid w:val="0013484A"/>
    <w:rsid w:val="00135DE8"/>
    <w:rsid w:val="0014528D"/>
    <w:rsid w:val="00153803"/>
    <w:rsid w:val="001668D0"/>
    <w:rsid w:val="00177655"/>
    <w:rsid w:val="001854D7"/>
    <w:rsid w:val="001A72E4"/>
    <w:rsid w:val="001B42C0"/>
    <w:rsid w:val="001B4321"/>
    <w:rsid w:val="001B5460"/>
    <w:rsid w:val="001B7213"/>
    <w:rsid w:val="001D33DA"/>
    <w:rsid w:val="001E461A"/>
    <w:rsid w:val="001E53FE"/>
    <w:rsid w:val="001E76F9"/>
    <w:rsid w:val="001F47B7"/>
    <w:rsid w:val="00200DA1"/>
    <w:rsid w:val="00207213"/>
    <w:rsid w:val="00207324"/>
    <w:rsid w:val="00207E46"/>
    <w:rsid w:val="00212A88"/>
    <w:rsid w:val="00220FE9"/>
    <w:rsid w:val="00240C89"/>
    <w:rsid w:val="00246083"/>
    <w:rsid w:val="00246B1F"/>
    <w:rsid w:val="00247C31"/>
    <w:rsid w:val="00266F38"/>
    <w:rsid w:val="002719D1"/>
    <w:rsid w:val="0027224C"/>
    <w:rsid w:val="002724DA"/>
    <w:rsid w:val="00290E95"/>
    <w:rsid w:val="0029389C"/>
    <w:rsid w:val="002943F6"/>
    <w:rsid w:val="00294751"/>
    <w:rsid w:val="002973E5"/>
    <w:rsid w:val="002C7380"/>
    <w:rsid w:val="002D763D"/>
    <w:rsid w:val="002E21FE"/>
    <w:rsid w:val="002E5BCD"/>
    <w:rsid w:val="002E65CE"/>
    <w:rsid w:val="002F37CE"/>
    <w:rsid w:val="002F659A"/>
    <w:rsid w:val="003041FC"/>
    <w:rsid w:val="0030595B"/>
    <w:rsid w:val="003069D8"/>
    <w:rsid w:val="00311A1D"/>
    <w:rsid w:val="0032269A"/>
    <w:rsid w:val="0033579D"/>
    <w:rsid w:val="00335EDE"/>
    <w:rsid w:val="00340FF7"/>
    <w:rsid w:val="00355266"/>
    <w:rsid w:val="00355A43"/>
    <w:rsid w:val="003571E3"/>
    <w:rsid w:val="00357828"/>
    <w:rsid w:val="003666AB"/>
    <w:rsid w:val="00372190"/>
    <w:rsid w:val="0037392A"/>
    <w:rsid w:val="00377B9D"/>
    <w:rsid w:val="00380493"/>
    <w:rsid w:val="00381EF6"/>
    <w:rsid w:val="00383472"/>
    <w:rsid w:val="00391CC9"/>
    <w:rsid w:val="003A062C"/>
    <w:rsid w:val="003B4D59"/>
    <w:rsid w:val="003B5CCB"/>
    <w:rsid w:val="003C7C8B"/>
    <w:rsid w:val="003D3A6C"/>
    <w:rsid w:val="003E1AF2"/>
    <w:rsid w:val="003E3CE7"/>
    <w:rsid w:val="003E4BD7"/>
    <w:rsid w:val="003F031E"/>
    <w:rsid w:val="003F08C3"/>
    <w:rsid w:val="003F0BDE"/>
    <w:rsid w:val="003F18B2"/>
    <w:rsid w:val="003F3D11"/>
    <w:rsid w:val="003F68A8"/>
    <w:rsid w:val="004035E4"/>
    <w:rsid w:val="00406EF6"/>
    <w:rsid w:val="004170E5"/>
    <w:rsid w:val="004200CD"/>
    <w:rsid w:val="004214E8"/>
    <w:rsid w:val="00427DFC"/>
    <w:rsid w:val="004324ED"/>
    <w:rsid w:val="004401B3"/>
    <w:rsid w:val="004406A1"/>
    <w:rsid w:val="00443B2B"/>
    <w:rsid w:val="00443D4A"/>
    <w:rsid w:val="00451E67"/>
    <w:rsid w:val="00452174"/>
    <w:rsid w:val="00452752"/>
    <w:rsid w:val="00453C44"/>
    <w:rsid w:val="004578B4"/>
    <w:rsid w:val="00462A95"/>
    <w:rsid w:val="00465971"/>
    <w:rsid w:val="00470C1C"/>
    <w:rsid w:val="004872CE"/>
    <w:rsid w:val="00496E8E"/>
    <w:rsid w:val="004B7041"/>
    <w:rsid w:val="004C13CE"/>
    <w:rsid w:val="004C6061"/>
    <w:rsid w:val="004C6C2D"/>
    <w:rsid w:val="004D1027"/>
    <w:rsid w:val="004E0C6F"/>
    <w:rsid w:val="004E2919"/>
    <w:rsid w:val="004E2D8D"/>
    <w:rsid w:val="004E53EC"/>
    <w:rsid w:val="004F501F"/>
    <w:rsid w:val="005072DC"/>
    <w:rsid w:val="0051088A"/>
    <w:rsid w:val="00527F6D"/>
    <w:rsid w:val="0053169E"/>
    <w:rsid w:val="00537B31"/>
    <w:rsid w:val="00537FC5"/>
    <w:rsid w:val="00540731"/>
    <w:rsid w:val="005501DA"/>
    <w:rsid w:val="00552BEE"/>
    <w:rsid w:val="00563ECE"/>
    <w:rsid w:val="00564EEC"/>
    <w:rsid w:val="0056500E"/>
    <w:rsid w:val="005661D3"/>
    <w:rsid w:val="00587D86"/>
    <w:rsid w:val="005965BA"/>
    <w:rsid w:val="005A64A2"/>
    <w:rsid w:val="005B3736"/>
    <w:rsid w:val="005C064C"/>
    <w:rsid w:val="005C3258"/>
    <w:rsid w:val="005C333C"/>
    <w:rsid w:val="005C57FA"/>
    <w:rsid w:val="005C5A36"/>
    <w:rsid w:val="005D0015"/>
    <w:rsid w:val="005D44E5"/>
    <w:rsid w:val="005D5424"/>
    <w:rsid w:val="005D60A9"/>
    <w:rsid w:val="005F0D34"/>
    <w:rsid w:val="005F115F"/>
    <w:rsid w:val="006021DD"/>
    <w:rsid w:val="0060325F"/>
    <w:rsid w:val="00605D22"/>
    <w:rsid w:val="006150C3"/>
    <w:rsid w:val="00616583"/>
    <w:rsid w:val="00621971"/>
    <w:rsid w:val="00623C8E"/>
    <w:rsid w:val="006404E5"/>
    <w:rsid w:val="0065142C"/>
    <w:rsid w:val="00652749"/>
    <w:rsid w:val="0065439D"/>
    <w:rsid w:val="00655496"/>
    <w:rsid w:val="00657D6F"/>
    <w:rsid w:val="00666966"/>
    <w:rsid w:val="00666BB4"/>
    <w:rsid w:val="006676C8"/>
    <w:rsid w:val="00670493"/>
    <w:rsid w:val="006774E4"/>
    <w:rsid w:val="00677CF7"/>
    <w:rsid w:val="00680E6B"/>
    <w:rsid w:val="006900BC"/>
    <w:rsid w:val="006921A2"/>
    <w:rsid w:val="0069296C"/>
    <w:rsid w:val="00693029"/>
    <w:rsid w:val="00693B89"/>
    <w:rsid w:val="006A4B2A"/>
    <w:rsid w:val="006B07CC"/>
    <w:rsid w:val="006B4B7E"/>
    <w:rsid w:val="006C2520"/>
    <w:rsid w:val="006E0E34"/>
    <w:rsid w:val="006F12EF"/>
    <w:rsid w:val="00701067"/>
    <w:rsid w:val="007023ED"/>
    <w:rsid w:val="007053BE"/>
    <w:rsid w:val="007063C2"/>
    <w:rsid w:val="00710802"/>
    <w:rsid w:val="007261C0"/>
    <w:rsid w:val="0073149B"/>
    <w:rsid w:val="0073272A"/>
    <w:rsid w:val="007341EB"/>
    <w:rsid w:val="00734D10"/>
    <w:rsid w:val="00737A6A"/>
    <w:rsid w:val="00740CB4"/>
    <w:rsid w:val="00750693"/>
    <w:rsid w:val="00765389"/>
    <w:rsid w:val="00775CCA"/>
    <w:rsid w:val="00777357"/>
    <w:rsid w:val="00777904"/>
    <w:rsid w:val="007850C2"/>
    <w:rsid w:val="007861F8"/>
    <w:rsid w:val="007A31AB"/>
    <w:rsid w:val="007A71F1"/>
    <w:rsid w:val="007B33E9"/>
    <w:rsid w:val="007B401B"/>
    <w:rsid w:val="007B627E"/>
    <w:rsid w:val="007B7C5C"/>
    <w:rsid w:val="007C1ACA"/>
    <w:rsid w:val="007C54E2"/>
    <w:rsid w:val="007C6B43"/>
    <w:rsid w:val="007D0A34"/>
    <w:rsid w:val="007E2C75"/>
    <w:rsid w:val="007E5238"/>
    <w:rsid w:val="007F2DC4"/>
    <w:rsid w:val="00802C80"/>
    <w:rsid w:val="00802F5E"/>
    <w:rsid w:val="00810BA7"/>
    <w:rsid w:val="00822407"/>
    <w:rsid w:val="00833A3A"/>
    <w:rsid w:val="00836CFB"/>
    <w:rsid w:val="008416EA"/>
    <w:rsid w:val="00842C0D"/>
    <w:rsid w:val="00843D9C"/>
    <w:rsid w:val="008442D6"/>
    <w:rsid w:val="00845AF3"/>
    <w:rsid w:val="00847864"/>
    <w:rsid w:val="00863CE4"/>
    <w:rsid w:val="00872294"/>
    <w:rsid w:val="0088299C"/>
    <w:rsid w:val="00891862"/>
    <w:rsid w:val="00895E5E"/>
    <w:rsid w:val="008A1B22"/>
    <w:rsid w:val="008A3E78"/>
    <w:rsid w:val="008A7059"/>
    <w:rsid w:val="008B7B73"/>
    <w:rsid w:val="008C1B45"/>
    <w:rsid w:val="008C4052"/>
    <w:rsid w:val="008C6E3D"/>
    <w:rsid w:val="008D19FE"/>
    <w:rsid w:val="008E1415"/>
    <w:rsid w:val="008E2B10"/>
    <w:rsid w:val="008F3230"/>
    <w:rsid w:val="008F3341"/>
    <w:rsid w:val="009066D2"/>
    <w:rsid w:val="00911E34"/>
    <w:rsid w:val="00912BE5"/>
    <w:rsid w:val="00915AD7"/>
    <w:rsid w:val="009164E5"/>
    <w:rsid w:val="00922FE7"/>
    <w:rsid w:val="00923BDD"/>
    <w:rsid w:val="00925F86"/>
    <w:rsid w:val="00926EC5"/>
    <w:rsid w:val="009342D4"/>
    <w:rsid w:val="00936A9F"/>
    <w:rsid w:val="009374C5"/>
    <w:rsid w:val="009552C7"/>
    <w:rsid w:val="009614D4"/>
    <w:rsid w:val="00976675"/>
    <w:rsid w:val="009826E3"/>
    <w:rsid w:val="0098795F"/>
    <w:rsid w:val="00987A28"/>
    <w:rsid w:val="009A5460"/>
    <w:rsid w:val="009B7CFA"/>
    <w:rsid w:val="009C47CE"/>
    <w:rsid w:val="009D3568"/>
    <w:rsid w:val="009D55AF"/>
    <w:rsid w:val="009E1CB7"/>
    <w:rsid w:val="009F0DE9"/>
    <w:rsid w:val="009F5214"/>
    <w:rsid w:val="00A0606D"/>
    <w:rsid w:val="00A1042E"/>
    <w:rsid w:val="00A16463"/>
    <w:rsid w:val="00A1729B"/>
    <w:rsid w:val="00A20ADB"/>
    <w:rsid w:val="00A23565"/>
    <w:rsid w:val="00A23BBB"/>
    <w:rsid w:val="00A24580"/>
    <w:rsid w:val="00A275B7"/>
    <w:rsid w:val="00A3081A"/>
    <w:rsid w:val="00A31979"/>
    <w:rsid w:val="00A335DE"/>
    <w:rsid w:val="00A34B9B"/>
    <w:rsid w:val="00A34EC8"/>
    <w:rsid w:val="00A36C82"/>
    <w:rsid w:val="00A3728D"/>
    <w:rsid w:val="00A43741"/>
    <w:rsid w:val="00A46D00"/>
    <w:rsid w:val="00A46F2F"/>
    <w:rsid w:val="00A473D6"/>
    <w:rsid w:val="00A600D2"/>
    <w:rsid w:val="00A6460F"/>
    <w:rsid w:val="00A65F68"/>
    <w:rsid w:val="00A678F4"/>
    <w:rsid w:val="00A775CA"/>
    <w:rsid w:val="00A77D33"/>
    <w:rsid w:val="00A84EA6"/>
    <w:rsid w:val="00A85855"/>
    <w:rsid w:val="00A863A8"/>
    <w:rsid w:val="00AA309C"/>
    <w:rsid w:val="00AA56CD"/>
    <w:rsid w:val="00AA5E10"/>
    <w:rsid w:val="00AB1CDD"/>
    <w:rsid w:val="00AB3A0B"/>
    <w:rsid w:val="00AB497E"/>
    <w:rsid w:val="00AC74A6"/>
    <w:rsid w:val="00AD0E49"/>
    <w:rsid w:val="00AD24DF"/>
    <w:rsid w:val="00AD5FF0"/>
    <w:rsid w:val="00AE38C6"/>
    <w:rsid w:val="00AE723C"/>
    <w:rsid w:val="00AF6410"/>
    <w:rsid w:val="00AF743F"/>
    <w:rsid w:val="00B001B6"/>
    <w:rsid w:val="00B115D9"/>
    <w:rsid w:val="00B15175"/>
    <w:rsid w:val="00B21B30"/>
    <w:rsid w:val="00B403D4"/>
    <w:rsid w:val="00B42D6E"/>
    <w:rsid w:val="00B61731"/>
    <w:rsid w:val="00B65A87"/>
    <w:rsid w:val="00B668BD"/>
    <w:rsid w:val="00B74166"/>
    <w:rsid w:val="00B75B4B"/>
    <w:rsid w:val="00B91D13"/>
    <w:rsid w:val="00BA153A"/>
    <w:rsid w:val="00BA1563"/>
    <w:rsid w:val="00BB7BC2"/>
    <w:rsid w:val="00BC4B14"/>
    <w:rsid w:val="00BC67B5"/>
    <w:rsid w:val="00BC7C7F"/>
    <w:rsid w:val="00BD2139"/>
    <w:rsid w:val="00BD2522"/>
    <w:rsid w:val="00BD6CBB"/>
    <w:rsid w:val="00BD79C4"/>
    <w:rsid w:val="00BE4865"/>
    <w:rsid w:val="00BE5763"/>
    <w:rsid w:val="00BE6764"/>
    <w:rsid w:val="00BE6F73"/>
    <w:rsid w:val="00BF5885"/>
    <w:rsid w:val="00C00515"/>
    <w:rsid w:val="00C06B70"/>
    <w:rsid w:val="00C11BB0"/>
    <w:rsid w:val="00C12B00"/>
    <w:rsid w:val="00C15B15"/>
    <w:rsid w:val="00C168B5"/>
    <w:rsid w:val="00C20686"/>
    <w:rsid w:val="00C22698"/>
    <w:rsid w:val="00C22B65"/>
    <w:rsid w:val="00C237D9"/>
    <w:rsid w:val="00C26556"/>
    <w:rsid w:val="00C276D5"/>
    <w:rsid w:val="00C30F7D"/>
    <w:rsid w:val="00C3236E"/>
    <w:rsid w:val="00C35643"/>
    <w:rsid w:val="00C3681D"/>
    <w:rsid w:val="00C37503"/>
    <w:rsid w:val="00C41471"/>
    <w:rsid w:val="00C42AD8"/>
    <w:rsid w:val="00C47FD2"/>
    <w:rsid w:val="00C527B4"/>
    <w:rsid w:val="00C57397"/>
    <w:rsid w:val="00C57551"/>
    <w:rsid w:val="00C619F1"/>
    <w:rsid w:val="00C6246B"/>
    <w:rsid w:val="00C65E48"/>
    <w:rsid w:val="00C732FA"/>
    <w:rsid w:val="00C75785"/>
    <w:rsid w:val="00C844DA"/>
    <w:rsid w:val="00C845A6"/>
    <w:rsid w:val="00CA6A8B"/>
    <w:rsid w:val="00CB39FB"/>
    <w:rsid w:val="00CC3A3E"/>
    <w:rsid w:val="00CC79AC"/>
    <w:rsid w:val="00CD00E9"/>
    <w:rsid w:val="00CD3753"/>
    <w:rsid w:val="00CF2FD0"/>
    <w:rsid w:val="00CF4DA7"/>
    <w:rsid w:val="00CF56D2"/>
    <w:rsid w:val="00D06F66"/>
    <w:rsid w:val="00D30DD6"/>
    <w:rsid w:val="00D312DF"/>
    <w:rsid w:val="00D35B15"/>
    <w:rsid w:val="00D42632"/>
    <w:rsid w:val="00D4363C"/>
    <w:rsid w:val="00D43BBB"/>
    <w:rsid w:val="00D47474"/>
    <w:rsid w:val="00D47D3C"/>
    <w:rsid w:val="00D67C68"/>
    <w:rsid w:val="00D757AA"/>
    <w:rsid w:val="00D9415E"/>
    <w:rsid w:val="00DA2A8B"/>
    <w:rsid w:val="00DA70BE"/>
    <w:rsid w:val="00DB20D2"/>
    <w:rsid w:val="00DC4218"/>
    <w:rsid w:val="00DC5507"/>
    <w:rsid w:val="00DC5588"/>
    <w:rsid w:val="00DC6B3A"/>
    <w:rsid w:val="00DD3108"/>
    <w:rsid w:val="00DE2AD8"/>
    <w:rsid w:val="00DE2E7B"/>
    <w:rsid w:val="00DE4600"/>
    <w:rsid w:val="00DE7309"/>
    <w:rsid w:val="00DF0A13"/>
    <w:rsid w:val="00DF3288"/>
    <w:rsid w:val="00E021A8"/>
    <w:rsid w:val="00E0684F"/>
    <w:rsid w:val="00E22741"/>
    <w:rsid w:val="00E2503F"/>
    <w:rsid w:val="00E356F9"/>
    <w:rsid w:val="00E41A47"/>
    <w:rsid w:val="00E522C8"/>
    <w:rsid w:val="00E557D7"/>
    <w:rsid w:val="00E6028E"/>
    <w:rsid w:val="00E65D01"/>
    <w:rsid w:val="00E705D4"/>
    <w:rsid w:val="00E71B19"/>
    <w:rsid w:val="00E76BCB"/>
    <w:rsid w:val="00E829D8"/>
    <w:rsid w:val="00E86326"/>
    <w:rsid w:val="00E91C10"/>
    <w:rsid w:val="00E93FDA"/>
    <w:rsid w:val="00E945CE"/>
    <w:rsid w:val="00E95D2D"/>
    <w:rsid w:val="00EA0BDB"/>
    <w:rsid w:val="00EA6E82"/>
    <w:rsid w:val="00EB286B"/>
    <w:rsid w:val="00EB3681"/>
    <w:rsid w:val="00EC2EDA"/>
    <w:rsid w:val="00EE727B"/>
    <w:rsid w:val="00EF490C"/>
    <w:rsid w:val="00EF4A22"/>
    <w:rsid w:val="00EF7AC3"/>
    <w:rsid w:val="00F077CF"/>
    <w:rsid w:val="00F23EF5"/>
    <w:rsid w:val="00F3431B"/>
    <w:rsid w:val="00F42E57"/>
    <w:rsid w:val="00F5139D"/>
    <w:rsid w:val="00F65C86"/>
    <w:rsid w:val="00F71868"/>
    <w:rsid w:val="00F72BE6"/>
    <w:rsid w:val="00F82862"/>
    <w:rsid w:val="00F841A4"/>
    <w:rsid w:val="00F958F9"/>
    <w:rsid w:val="00F96FAB"/>
    <w:rsid w:val="00FA6F5D"/>
    <w:rsid w:val="00FA7A41"/>
    <w:rsid w:val="00FB12D0"/>
    <w:rsid w:val="00FD7168"/>
    <w:rsid w:val="00FE5467"/>
    <w:rsid w:val="00FE64CF"/>
    <w:rsid w:val="00FE7615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7D07"/>
  <w15:chartTrackingRefBased/>
  <w15:docId w15:val="{7FF5132C-E1ED-4803-802A-60D731EF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41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DE2E7B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DE2E7B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DE2E7B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DE2E7B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DE2E7B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DE2E7B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DE2E7B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DE2E7B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DE2E7B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DE2E7B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DE2E7B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DE2E7B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DE2E7B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DE2E7B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DE2E7B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link w:val="TableCenter0"/>
    <w:rsid w:val="00DE2E7B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link w:val="TableLeft0"/>
    <w:rsid w:val="00DE2E7B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DE2E7B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DE2E7B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DE2E7B"/>
    <w:pPr>
      <w:jc w:val="right"/>
    </w:pPr>
    <w:rPr>
      <w:lang w:val="ru-RU"/>
    </w:rPr>
  </w:style>
  <w:style w:type="paragraph" w:customStyle="1" w:styleId="Text05">
    <w:name w:val="Text_05"/>
    <w:basedOn w:val="5"/>
    <w:rsid w:val="00DE2E7B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DE2E7B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DE2E7B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DE2E7B"/>
  </w:style>
  <w:style w:type="paragraph" w:customStyle="1" w:styleId="Text06PetitNo">
    <w:name w:val="Text_06_Petit_No"/>
    <w:basedOn w:val="Text06Petit"/>
    <w:rsid w:val="00DE2E7B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DE2E7B"/>
  </w:style>
  <w:style w:type="paragraph" w:customStyle="1" w:styleId="Text07Petit">
    <w:name w:val="Text_07_Petit"/>
    <w:basedOn w:val="7"/>
    <w:rsid w:val="00DE2E7B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DE2E7B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DE2E7B"/>
  </w:style>
  <w:style w:type="paragraph" w:customStyle="1" w:styleId="Text08Petit">
    <w:name w:val="Text_08_Petit"/>
    <w:basedOn w:val="Text08"/>
    <w:rsid w:val="00DE2E7B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DE2E7B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DE2E7B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DE2E7B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DE2E7B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DE2E7B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DE2E7B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DE2E7B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DE2E7B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DE2E7B"/>
    <w:pPr>
      <w:ind w:left="0" w:firstLine="0"/>
    </w:pPr>
  </w:style>
  <w:style w:type="paragraph" w:customStyle="1" w:styleId="Title04">
    <w:name w:val="Title_04"/>
    <w:basedOn w:val="4"/>
    <w:rsid w:val="00DE2E7B"/>
    <w:pPr>
      <w:ind w:left="0" w:firstLine="0"/>
      <w:jc w:val="left"/>
    </w:pPr>
  </w:style>
  <w:style w:type="paragraph" w:styleId="a3">
    <w:name w:val="header"/>
    <w:basedOn w:val="a"/>
    <w:link w:val="a4"/>
    <w:rsid w:val="00DE2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E2E7B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footer"/>
    <w:basedOn w:val="a"/>
    <w:link w:val="a6"/>
    <w:rsid w:val="00DE2E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E2E7B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TableCenter0">
    <w:name w:val="Table_Center Знак"/>
    <w:basedOn w:val="a0"/>
    <w:link w:val="TableCenter"/>
    <w:rsid w:val="00A43741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TableLeft0">
    <w:name w:val="Table_Left Знак"/>
    <w:basedOn w:val="TableCenter0"/>
    <w:link w:val="TableLeft"/>
    <w:rsid w:val="00A43741"/>
    <w:rPr>
      <w:rFonts w:ascii="Times New Roman" w:eastAsia="Times New Roman" w:hAnsi="Times New Roman" w:cs="Times New Roman"/>
      <w:color w:val="0000FF"/>
      <w:kern w:val="0"/>
      <w:sz w:val="18"/>
      <w:szCs w:val="18"/>
      <w:lang w:eastAsia="ru-RU"/>
      <w14:ligatures w14:val="none"/>
    </w:rPr>
  </w:style>
  <w:style w:type="table" w:styleId="a7">
    <w:name w:val="Table Grid"/>
    <w:basedOn w:val="a1"/>
    <w:rsid w:val="00A437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2151</Words>
  <Characters>12267</Characters>
  <Application>Microsoft Office Word</Application>
  <DocSecurity>0</DocSecurity>
  <Lines>102</Lines>
  <Paragraphs>28</Paragraphs>
  <ScaleCrop>false</ScaleCrop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2024-09-09T06:57:00Z</dcterms:created>
  <dcterms:modified xsi:type="dcterms:W3CDTF">2024-09-09T06:58:00Z</dcterms:modified>
</cp:coreProperties>
</file>