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BEC1" w14:textId="77777777" w:rsidR="0044664A" w:rsidRPr="0044664A" w:rsidRDefault="0044664A" w:rsidP="0044664A">
      <w:pPr>
        <w:pStyle w:val="TableName"/>
        <w:rPr>
          <w:color w:val="auto"/>
        </w:rPr>
      </w:pPr>
      <w:r w:rsidRPr="0044664A">
        <w:rPr>
          <w:color w:val="auto"/>
        </w:rPr>
        <w:t xml:space="preserve">Приложение 1. </w:t>
      </w:r>
      <w:r w:rsidRPr="0044664A">
        <w:rPr>
          <w:b w:val="0"/>
          <w:bCs/>
          <w:color w:val="auto"/>
        </w:rPr>
        <w:t xml:space="preserve">Применение обычной и спектральной маммографии с контрастным усилением для оценки ответа на </w:t>
      </w:r>
      <w:proofErr w:type="spellStart"/>
      <w:r w:rsidRPr="0044664A">
        <w:rPr>
          <w:b w:val="0"/>
          <w:bCs/>
          <w:color w:val="auto"/>
        </w:rPr>
        <w:t>неоадъювантную</w:t>
      </w:r>
      <w:proofErr w:type="spellEnd"/>
      <w:r w:rsidRPr="0044664A">
        <w:rPr>
          <w:b w:val="0"/>
          <w:bCs/>
          <w:color w:val="auto"/>
        </w:rPr>
        <w:t xml:space="preserve"> химиотерапию у пациенток с раком молочной железы</w:t>
      </w:r>
    </w:p>
    <w:p w14:paraId="40B4C9DB" w14:textId="77777777" w:rsidR="0044664A" w:rsidRPr="0044664A" w:rsidRDefault="0044664A" w:rsidP="0044664A">
      <w:pPr>
        <w:pStyle w:val="TableName"/>
        <w:rPr>
          <w:color w:val="auto"/>
          <w:lang w:val="en-US"/>
        </w:rPr>
      </w:pPr>
      <w:r w:rsidRPr="0044664A">
        <w:rPr>
          <w:color w:val="auto"/>
          <w:lang w:val="en-US"/>
        </w:rPr>
        <w:t xml:space="preserve">Supplement 1. </w:t>
      </w:r>
      <w:r w:rsidRPr="0044664A">
        <w:rPr>
          <w:b w:val="0"/>
          <w:bCs/>
          <w:color w:val="auto"/>
          <w:lang w:val="en-US"/>
        </w:rPr>
        <w:t>Application of conventional and contrast-enhanced spectral mammography for evaluating the response to neoadjuvant chemotherapy in breast cancer</w:t>
      </w:r>
      <w:r w:rsidRPr="0044664A">
        <w:rPr>
          <w:bCs/>
          <w:color w:val="auto"/>
          <w:lang w:val="en-US"/>
        </w:rPr>
        <w:t xml:space="preserve"> </w:t>
      </w:r>
      <w:r w:rsidRPr="0044664A">
        <w:rPr>
          <w:b w:val="0"/>
          <w:color w:val="auto"/>
          <w:lang w:val="en-US"/>
        </w:rPr>
        <w:t>patients</w:t>
      </w:r>
    </w:p>
    <w:tbl>
      <w:tblPr>
        <w:tblStyle w:val="ac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559"/>
        <w:gridCol w:w="1560"/>
        <w:gridCol w:w="3402"/>
        <w:gridCol w:w="4961"/>
      </w:tblGrid>
      <w:tr w:rsidR="0044664A" w:rsidRPr="0044664A" w14:paraId="55EB7225" w14:textId="77777777" w:rsidTr="00A4438C">
        <w:trPr>
          <w:tblHeader/>
        </w:trPr>
        <w:tc>
          <w:tcPr>
            <w:tcW w:w="1277" w:type="dxa"/>
          </w:tcPr>
          <w:p w14:paraId="72B0A4EE" w14:textId="77777777" w:rsidR="0044664A" w:rsidRPr="0044664A" w:rsidRDefault="0044664A" w:rsidP="00A4438C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Авторы</w:t>
            </w:r>
          </w:p>
        </w:tc>
        <w:tc>
          <w:tcPr>
            <w:tcW w:w="1984" w:type="dxa"/>
          </w:tcPr>
          <w:p w14:paraId="7DB43E83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Цель исследования</w:t>
            </w:r>
          </w:p>
        </w:tc>
        <w:tc>
          <w:tcPr>
            <w:tcW w:w="1559" w:type="dxa"/>
          </w:tcPr>
          <w:p w14:paraId="06CF11C4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Количество пациентов</w:t>
            </w:r>
          </w:p>
        </w:tc>
        <w:tc>
          <w:tcPr>
            <w:tcW w:w="1560" w:type="dxa"/>
          </w:tcPr>
          <w:p w14:paraId="50E94E84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Тип исследования</w:t>
            </w:r>
          </w:p>
        </w:tc>
        <w:tc>
          <w:tcPr>
            <w:tcW w:w="3402" w:type="dxa"/>
          </w:tcPr>
          <w:p w14:paraId="2175EE47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Параметр(ы)</w:t>
            </w:r>
          </w:p>
        </w:tc>
        <w:tc>
          <w:tcPr>
            <w:tcW w:w="4961" w:type="dxa"/>
          </w:tcPr>
          <w:p w14:paraId="4442E8D8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Результаты</w:t>
            </w:r>
          </w:p>
        </w:tc>
      </w:tr>
      <w:tr w:rsidR="0044664A" w:rsidRPr="0044664A" w14:paraId="76C76A6B" w14:textId="77777777" w:rsidTr="00A4438C">
        <w:trPr>
          <w:tblHeader/>
        </w:trPr>
        <w:tc>
          <w:tcPr>
            <w:tcW w:w="1277" w:type="dxa"/>
          </w:tcPr>
          <w:p w14:paraId="4486E0D0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6B7092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CA3ED3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AD8D774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BCE5CD3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</w:tcPr>
          <w:p w14:paraId="26CBE2C5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4664A" w:rsidRPr="0044664A" w14:paraId="30952C78" w14:textId="77777777" w:rsidTr="00A4438C">
        <w:tc>
          <w:tcPr>
            <w:tcW w:w="1277" w:type="dxa"/>
          </w:tcPr>
          <w:p w14:paraId="5B4A7651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t>H</w:t>
            </w:r>
            <w:r w:rsidRPr="0044664A">
              <w:rPr>
                <w:color w:val="auto"/>
                <w:sz w:val="16"/>
                <w:szCs w:val="16"/>
              </w:rPr>
              <w:t>.</w:t>
            </w:r>
            <w:r w:rsidRPr="0044664A">
              <w:rPr>
                <w:color w:val="auto"/>
                <w:sz w:val="16"/>
                <w:szCs w:val="16"/>
                <w:lang w:val="en-US"/>
              </w:rPr>
              <w:t>K</w:t>
            </w:r>
            <w:r w:rsidRPr="0044664A">
              <w:rPr>
                <w:color w:val="auto"/>
                <w:sz w:val="16"/>
                <w:szCs w:val="16"/>
              </w:rPr>
              <w:t>.</w:t>
            </w:r>
            <w:r w:rsidRPr="0044664A">
              <w:rPr>
                <w:color w:val="auto"/>
                <w:sz w:val="16"/>
                <w:szCs w:val="16"/>
                <w:lang w:val="en-US"/>
              </w:rPr>
              <w:t>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Shin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[25]</w:t>
            </w:r>
          </w:p>
        </w:tc>
        <w:tc>
          <w:tcPr>
            <w:tcW w:w="1984" w:type="dxa"/>
          </w:tcPr>
          <w:p w14:paraId="52A9ED8C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создать метод обучения с многоуровневыми патчами для раннего предсказания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с использованием результатов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маммографи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до начала НАХТ</w:t>
            </w:r>
          </w:p>
        </w:tc>
        <w:tc>
          <w:tcPr>
            <w:tcW w:w="1559" w:type="dxa"/>
          </w:tcPr>
          <w:p w14:paraId="5C0AF1D1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288 пациентов:</w:t>
            </w:r>
          </w:p>
          <w:p w14:paraId="2AEBD696" w14:textId="77777777" w:rsidR="0044664A" w:rsidRPr="0044664A" w:rsidRDefault="0044664A" w:rsidP="00A4438C">
            <w:pPr>
              <w:pStyle w:val="TableLeft"/>
              <w:tabs>
                <w:tab w:val="left" w:pos="166"/>
              </w:tabs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=228);</w:t>
            </w:r>
          </w:p>
          <w:p w14:paraId="34941567" w14:textId="77777777" w:rsidR="0044664A" w:rsidRPr="0044664A" w:rsidRDefault="0044664A" w:rsidP="00A4438C">
            <w:pPr>
              <w:pStyle w:val="TableLeft"/>
              <w:tabs>
                <w:tab w:val="left" w:pos="166"/>
              </w:tabs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тестовая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=60)</w:t>
            </w:r>
          </w:p>
        </w:tc>
        <w:tc>
          <w:tcPr>
            <w:tcW w:w="1560" w:type="dxa"/>
          </w:tcPr>
          <w:p w14:paraId="3005F340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3402" w:type="dxa"/>
          </w:tcPr>
          <w:p w14:paraId="6F51A820" w14:textId="77777777" w:rsidR="0044664A" w:rsidRPr="0044664A" w:rsidRDefault="0044664A" w:rsidP="0044664A">
            <w:pPr>
              <w:pStyle w:val="TableLeft"/>
              <w:numPr>
                <w:ilvl w:val="0"/>
                <w:numId w:val="7"/>
              </w:numPr>
              <w:ind w:left="184" w:hanging="142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текстурные и геометрические признаки извлечены из изображений 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медиолатеральной косой проекциях с помощью ResNet-32 с размером ядра 3</w:t>
            </w:r>
            <w:r w:rsidRPr="0044664A">
              <w:rPr>
                <w:color w:val="auto"/>
                <w:sz w:val="16"/>
                <w:szCs w:val="16"/>
                <w:lang w:val="en-US"/>
              </w:rPr>
              <w:t>;</w:t>
            </w:r>
          </w:p>
          <w:p w14:paraId="2AABD793" w14:textId="77777777" w:rsidR="0044664A" w:rsidRPr="0044664A" w:rsidRDefault="0044664A" w:rsidP="0044664A">
            <w:pPr>
              <w:pStyle w:val="TableLeft"/>
              <w:numPr>
                <w:ilvl w:val="0"/>
                <w:numId w:val="7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перед извлечением изображения изменены в размерах на три разные шкалы, затем патчи фиксированного размера извлечены из них; </w:t>
            </w:r>
          </w:p>
          <w:p w14:paraId="1D79F74C" w14:textId="77777777" w:rsidR="0044664A" w:rsidRPr="0044664A" w:rsidRDefault="0044664A" w:rsidP="0044664A">
            <w:pPr>
              <w:pStyle w:val="TableLeft"/>
              <w:numPr>
                <w:ilvl w:val="0"/>
                <w:numId w:val="7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наборы патчей создавали путём их объединения</w:t>
            </w:r>
          </w:p>
        </w:tc>
        <w:tc>
          <w:tcPr>
            <w:tcW w:w="4961" w:type="dxa"/>
          </w:tcPr>
          <w:p w14:paraId="6B10F0BA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модель при использовании размера ядра 3:</w:t>
            </w:r>
            <w:r w:rsidRPr="0044664A" w:rsidDel="00EF31EE">
              <w:rPr>
                <w:color w:val="auto"/>
                <w:sz w:val="16"/>
                <w:szCs w:val="16"/>
              </w:rPr>
              <w:t xml:space="preserve"> </w:t>
            </w:r>
            <w:r w:rsidRPr="0044664A">
              <w:rPr>
                <w:color w:val="auto"/>
                <w:sz w:val="16"/>
                <w:szCs w:val="16"/>
              </w:rPr>
              <w:t>AUC=0,80, чувствительность и специфичность — 0,73 и 0,77 соответственно;</w:t>
            </w:r>
          </w:p>
          <w:p w14:paraId="03F012C6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модель при использовании размера ядра 7:</w:t>
            </w:r>
            <w:r w:rsidRPr="0044664A" w:rsidDel="00EF31EE">
              <w:rPr>
                <w:color w:val="auto"/>
                <w:sz w:val="16"/>
                <w:szCs w:val="16"/>
              </w:rPr>
              <w:t xml:space="preserve"> </w:t>
            </w:r>
            <w:r w:rsidRPr="0044664A">
              <w:rPr>
                <w:color w:val="auto"/>
                <w:sz w:val="16"/>
                <w:szCs w:val="16"/>
              </w:rPr>
              <w:t>AUC=0,66, чувствительность и специфичность — 0,5 и 0,83 соответственно;</w:t>
            </w:r>
          </w:p>
          <w:p w14:paraId="2C0CEB81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при использовании извлечённых патчей производительность модели зависела от размера ядра; </w:t>
            </w:r>
          </w:p>
          <w:p w14:paraId="06B388D6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использование целых маммограмм (в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медиолатеральной косой проекциях) превзошло подходы, основанные на выделении области интереса</w:t>
            </w:r>
          </w:p>
        </w:tc>
      </w:tr>
      <w:tr w:rsidR="0044664A" w:rsidRPr="0044664A" w14:paraId="6B72F7AD" w14:textId="77777777" w:rsidTr="00A4438C">
        <w:tc>
          <w:tcPr>
            <w:tcW w:w="1277" w:type="dxa"/>
          </w:tcPr>
          <w:p w14:paraId="65D7D04F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t>I.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Skarping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[26]</w:t>
            </w:r>
          </w:p>
        </w:tc>
        <w:tc>
          <w:tcPr>
            <w:tcW w:w="1984" w:type="dxa"/>
          </w:tcPr>
          <w:p w14:paraId="235F42F0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предложить модель на основе глубокого обучения и исходных цифровых маммограмм для предсказания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после НАХТ </w:t>
            </w:r>
          </w:p>
        </w:tc>
        <w:tc>
          <w:tcPr>
            <w:tcW w:w="1559" w:type="dxa"/>
          </w:tcPr>
          <w:p w14:paraId="1897BBA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453 пациента:</w:t>
            </w:r>
          </w:p>
          <w:p w14:paraId="100757B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=400)</w:t>
            </w:r>
          </w:p>
          <w:p w14:paraId="04BD54CA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=53)</w:t>
            </w:r>
          </w:p>
        </w:tc>
        <w:tc>
          <w:tcPr>
            <w:tcW w:w="1560" w:type="dxa"/>
          </w:tcPr>
          <w:p w14:paraId="6E6A712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с ретроспективными и проспективными когортами</w:t>
            </w:r>
          </w:p>
        </w:tc>
        <w:tc>
          <w:tcPr>
            <w:tcW w:w="3402" w:type="dxa"/>
          </w:tcPr>
          <w:p w14:paraId="048469C6" w14:textId="77777777" w:rsidR="0044664A" w:rsidRPr="0044664A" w:rsidRDefault="0044664A" w:rsidP="0044664A">
            <w:pPr>
              <w:pStyle w:val="TableLeft"/>
              <w:numPr>
                <w:ilvl w:val="0"/>
                <w:numId w:val="2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патчи изображений обрабатывали параллельно с использованием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свёрточной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нейронной сети на основе ResNet18, затем признаки объединены и обработаны через полностью связный слой (FC) и финальный слой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soft-max</w:t>
            </w:r>
            <w:proofErr w:type="spellEnd"/>
          </w:p>
        </w:tc>
        <w:tc>
          <w:tcPr>
            <w:tcW w:w="4961" w:type="dxa"/>
          </w:tcPr>
          <w:p w14:paraId="66DA7AD0" w14:textId="77777777" w:rsidR="0044664A" w:rsidRPr="0044664A" w:rsidRDefault="0044664A" w:rsidP="0044664A">
            <w:pPr>
              <w:pStyle w:val="TableLeft"/>
              <w:numPr>
                <w:ilvl w:val="0"/>
                <w:numId w:val="8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модель искусственного интеллекта на основе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признаков: AUC=0,71, чувствительность и специфичность — 0,46 и 0,9 соответственно;</w:t>
            </w:r>
          </w:p>
          <w:p w14:paraId="66A66C01" w14:textId="77777777" w:rsidR="0044664A" w:rsidRPr="0044664A" w:rsidRDefault="0044664A" w:rsidP="0044664A">
            <w:pPr>
              <w:pStyle w:val="TableLeft"/>
              <w:numPr>
                <w:ilvl w:val="0"/>
                <w:numId w:val="8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искусственный интеллект имеет потенциал для помощи в клиническом принятии решений; </w:t>
            </w:r>
          </w:p>
          <w:p w14:paraId="198A5887" w14:textId="77777777" w:rsidR="0044664A" w:rsidRPr="0044664A" w:rsidRDefault="0044664A" w:rsidP="0044664A">
            <w:pPr>
              <w:pStyle w:val="TableLeft"/>
              <w:numPr>
                <w:ilvl w:val="0"/>
                <w:numId w:val="8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необходимо дальнейшее исследование с усовершенствованными подходами и большими наборами данных для изучения его полезности в предсказании реакций пациенток на НАХТ</w:t>
            </w:r>
          </w:p>
        </w:tc>
      </w:tr>
      <w:tr w:rsidR="0044664A" w:rsidRPr="0044664A" w14:paraId="1E23EADF" w14:textId="77777777" w:rsidTr="00A4438C">
        <w:tc>
          <w:tcPr>
            <w:tcW w:w="1277" w:type="dxa"/>
          </w:tcPr>
          <w:p w14:paraId="34949060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</w:rPr>
              <w:t>В.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Xing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[32]</w:t>
            </w:r>
          </w:p>
        </w:tc>
        <w:tc>
          <w:tcPr>
            <w:tcW w:w="1984" w:type="dxa"/>
          </w:tcPr>
          <w:p w14:paraId="42737556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исследовать влияние процента снижения серого значения на раннее предсказание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или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после НАХТ</w:t>
            </w:r>
          </w:p>
        </w:tc>
        <w:tc>
          <w:tcPr>
            <w:tcW w:w="1559" w:type="dxa"/>
          </w:tcPr>
          <w:p w14:paraId="62694280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111 пациентов</w:t>
            </w:r>
          </w:p>
        </w:tc>
        <w:tc>
          <w:tcPr>
            <w:tcW w:w="1560" w:type="dxa"/>
          </w:tcPr>
          <w:p w14:paraId="7B2915A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ретроспективное</w:t>
            </w:r>
          </w:p>
        </w:tc>
        <w:tc>
          <w:tcPr>
            <w:tcW w:w="3402" w:type="dxa"/>
          </w:tcPr>
          <w:p w14:paraId="723133E9" w14:textId="77777777" w:rsidR="0044664A" w:rsidRPr="0044664A" w:rsidRDefault="0044664A" w:rsidP="0044664A">
            <w:pPr>
              <w:pStyle w:val="TableLeft"/>
              <w:numPr>
                <w:ilvl w:val="0"/>
                <w:numId w:val="3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процент снижения серого значения изображений (ΔCGV — разница между данными до и после второго цикла НАХТ, полученная при анализе изображений КСМГ с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субтракцией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медиолатеральной косой проекциях)</w:t>
            </w:r>
            <w:r w:rsidRPr="0044664A" w:rsidDel="00EF31E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14:paraId="64A155F9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перед началом НАХТ различия в серых значениях изображений КСМГ между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не были статистически значимыми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p</w:t>
            </w:r>
            <w:r w:rsidRPr="0044664A">
              <w:rPr>
                <w:color w:val="auto"/>
                <w:sz w:val="16"/>
                <w:szCs w:val="16"/>
              </w:rPr>
              <w:t xml:space="preserve"> &gt;0,05); </w:t>
            </w:r>
          </w:p>
          <w:p w14:paraId="1C6C13B1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ΔCGV после двух циклов у пациенток с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был выше, чем у пациенток с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p</w:t>
            </w:r>
            <w:r w:rsidRPr="0044664A">
              <w:rPr>
                <w:color w:val="auto"/>
                <w:sz w:val="16"/>
                <w:szCs w:val="16"/>
              </w:rPr>
              <w:t xml:space="preserve"> &lt;0,001); </w:t>
            </w:r>
          </w:p>
          <w:p w14:paraId="793C25CB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диагностическая ценность ΔCGV: проекция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: AUC=0,77, порог &gt;26,41, чувствительность и специфичность — 0,75 и 0,72 соответственно; проекция медиолатеральная косая: AUC=0,73, порог &gt;13,59, чувствительность и специфичность — 0,81 и 0,52 соответственно;</w:t>
            </w:r>
          </w:p>
          <w:p w14:paraId="1382DB4E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ΔCGV можно использовать для предсказания реакции на НАХТ после второго цикла</w:t>
            </w:r>
          </w:p>
        </w:tc>
      </w:tr>
      <w:tr w:rsidR="0044664A" w:rsidRPr="0044664A" w14:paraId="65C47175" w14:textId="77777777" w:rsidTr="00A4438C">
        <w:tc>
          <w:tcPr>
            <w:tcW w:w="1277" w:type="dxa"/>
          </w:tcPr>
          <w:p w14:paraId="62F634F1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t>Z.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Wang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[33]</w:t>
            </w:r>
          </w:p>
        </w:tc>
        <w:tc>
          <w:tcPr>
            <w:tcW w:w="1984" w:type="dxa"/>
          </w:tcPr>
          <w:p w14:paraId="1A59E9C7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разработать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радиомическую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номограмму для предсказания нечувствительности рака молочной железы к НАХТ до начала лечения</w:t>
            </w:r>
          </w:p>
        </w:tc>
        <w:tc>
          <w:tcPr>
            <w:tcW w:w="1559" w:type="dxa"/>
          </w:tcPr>
          <w:p w14:paraId="066A442C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117 пациентов:</w:t>
            </w:r>
          </w:p>
          <w:p w14:paraId="35C60D66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=97);</w:t>
            </w:r>
          </w:p>
          <w:p w14:paraId="09FCCB7D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=20)</w:t>
            </w:r>
          </w:p>
        </w:tc>
        <w:tc>
          <w:tcPr>
            <w:tcW w:w="1560" w:type="dxa"/>
          </w:tcPr>
          <w:p w14:paraId="42172E30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ретроспективное</w:t>
            </w:r>
          </w:p>
        </w:tc>
        <w:tc>
          <w:tcPr>
            <w:tcW w:w="3402" w:type="dxa"/>
          </w:tcPr>
          <w:p w14:paraId="0E53AE9F" w14:textId="77777777" w:rsidR="0044664A" w:rsidRPr="0044664A" w:rsidRDefault="0044664A" w:rsidP="0044664A">
            <w:pPr>
              <w:pStyle w:val="TableLeft"/>
              <w:numPr>
                <w:ilvl w:val="0"/>
                <w:numId w:val="4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молекулярные признаки: индекс Ki-67 и статус HER2;</w:t>
            </w:r>
          </w:p>
          <w:p w14:paraId="3B5ED2AB" w14:textId="77777777" w:rsidR="0044664A" w:rsidRPr="0044664A" w:rsidRDefault="0044664A" w:rsidP="0044664A">
            <w:pPr>
              <w:pStyle w:val="TableLeft"/>
              <w:numPr>
                <w:ilvl w:val="0"/>
                <w:numId w:val="4"/>
              </w:numPr>
              <w:ind w:left="184" w:hanging="142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BPE в дополнение к характеристикам формы и размера, статистическим параметрам первого порядка и текстурным характеристикам</w:t>
            </w:r>
          </w:p>
        </w:tc>
        <w:tc>
          <w:tcPr>
            <w:tcW w:w="4961" w:type="dxa"/>
          </w:tcPr>
          <w:p w14:paraId="3FC4B9D8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модель на основе молекулярных признаков + BPE: AUC=0,55, точность, чувствительность и специфичность — 0,65, 0,70 и 0,60 соответственно;</w:t>
            </w:r>
          </w:p>
          <w:p w14:paraId="791A777F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модель: AUC=0,81, точность, чувствительность и специфичность — 0,80, 0,90, и 0,70 соответственно;</w:t>
            </w:r>
          </w:p>
          <w:p w14:paraId="07672FC9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комбинированная модель (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 + молекулярные признаки): AUC=0,81, точность, чувствительность и специфичность — 0,80, 0,90 и 0,70 соответственно;</w:t>
            </w:r>
          </w:p>
          <w:p w14:paraId="1CA0F42F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lastRenderedPageBreak/>
              <w:t>Radscore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имеет хорошую предсказательную способность, однако добавление молекулярных маркёров не значительно улучшило производительность модели</w:t>
            </w:r>
          </w:p>
        </w:tc>
      </w:tr>
      <w:tr w:rsidR="0044664A" w:rsidRPr="0044664A" w14:paraId="7CE88176" w14:textId="77777777" w:rsidTr="00A4438C">
        <w:tc>
          <w:tcPr>
            <w:tcW w:w="1277" w:type="dxa"/>
          </w:tcPr>
          <w:p w14:paraId="3C419329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lastRenderedPageBreak/>
              <w:t>N.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Mao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[34]</w:t>
            </w:r>
          </w:p>
        </w:tc>
        <w:tc>
          <w:tcPr>
            <w:tcW w:w="1984" w:type="dxa"/>
          </w:tcPr>
          <w:p w14:paraId="3AB756D3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изучить эффективность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признаков, полученных из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внутриопухолевых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периопухолевыхых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областей</w:t>
            </w:r>
          </w:p>
        </w:tc>
        <w:tc>
          <w:tcPr>
            <w:tcW w:w="1559" w:type="dxa"/>
          </w:tcPr>
          <w:p w14:paraId="268AA8B5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118 пациентов:</w:t>
            </w:r>
          </w:p>
          <w:p w14:paraId="3076E93E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=81);</w:t>
            </w:r>
          </w:p>
          <w:p w14:paraId="5CDEBFEC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=37)</w:t>
            </w:r>
          </w:p>
        </w:tc>
        <w:tc>
          <w:tcPr>
            <w:tcW w:w="1560" w:type="dxa"/>
          </w:tcPr>
          <w:p w14:paraId="687596C0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ретроспективное</w:t>
            </w:r>
          </w:p>
        </w:tc>
        <w:tc>
          <w:tcPr>
            <w:tcW w:w="3402" w:type="dxa"/>
          </w:tcPr>
          <w:p w14:paraId="022531AD" w14:textId="77777777" w:rsidR="0044664A" w:rsidRPr="0044664A" w:rsidRDefault="0044664A" w:rsidP="0044664A">
            <w:pPr>
              <w:pStyle w:val="TableLeft"/>
              <w:numPr>
                <w:ilvl w:val="0"/>
                <w:numId w:val="6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демографические признаки: возраст;</w:t>
            </w:r>
          </w:p>
          <w:p w14:paraId="67EF58DE" w14:textId="77777777" w:rsidR="0044664A" w:rsidRPr="0044664A" w:rsidRDefault="0044664A" w:rsidP="0044664A">
            <w:pPr>
              <w:pStyle w:val="TableLeft"/>
              <w:numPr>
                <w:ilvl w:val="0"/>
                <w:numId w:val="6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молекулярные и гистопатологические признаки: T-стадия, молекулярный подтип опухоли;</w:t>
            </w:r>
          </w:p>
          <w:p w14:paraId="64311E21" w14:textId="77777777" w:rsidR="0044664A" w:rsidRPr="0044664A" w:rsidRDefault="0044664A" w:rsidP="0044664A">
            <w:pPr>
              <w:pStyle w:val="TableLeft"/>
              <w:numPr>
                <w:ilvl w:val="0"/>
                <w:numId w:val="6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первичные статистические данные (описывающие интенсивность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вокселей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), признаки на основе формы, текстурные признаки (матрица совместного распределения серых уровней, матрица длины пробега серых уровней, матрица размеров зон серых уровней), фильтры (логарифмический, экспоненциальный, градиентный, квадрат, квадратный корень, LBP и вейвлет), извлечённые из 5 областей интереса: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, 5 и 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+5 и +10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периопухолевая</w:t>
            </w:r>
            <w:proofErr w:type="spellEnd"/>
          </w:p>
        </w:tc>
        <w:tc>
          <w:tcPr>
            <w:tcW w:w="4961" w:type="dxa"/>
          </w:tcPr>
          <w:p w14:paraId="4B5DD4E5" w14:textId="77777777" w:rsidR="0044664A" w:rsidRPr="0044664A" w:rsidRDefault="0044664A" w:rsidP="0044664A">
            <w:pPr>
              <w:pStyle w:val="TableLeft"/>
              <w:numPr>
                <w:ilvl w:val="0"/>
                <w:numId w:val="10"/>
              </w:numPr>
              <w:tabs>
                <w:tab w:val="left" w:pos="177"/>
              </w:tabs>
              <w:ind w:left="29" w:firstLine="0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патологические маркёры: значительных факторов риска не найдено;</w:t>
            </w:r>
          </w:p>
          <w:p w14:paraId="69BD2729" w14:textId="77777777" w:rsidR="0044664A" w:rsidRPr="0044664A" w:rsidRDefault="0044664A" w:rsidP="0044664A">
            <w:pPr>
              <w:pStyle w:val="TableLeft"/>
              <w:numPr>
                <w:ilvl w:val="0"/>
                <w:numId w:val="10"/>
              </w:numPr>
              <w:tabs>
                <w:tab w:val="left" w:pos="177"/>
              </w:tabs>
              <w:ind w:left="29" w:firstLine="0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признаков: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область (AUC=0,74); 5 и 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область (AUC=0,75 и AUC=0,78 соответственно); опухоль + 5 и +10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области (AUC=0,85 и AUC=0,84 соответственно); </w:t>
            </w:r>
          </w:p>
          <w:p w14:paraId="18944529" w14:textId="77777777" w:rsidR="0044664A" w:rsidRPr="0044664A" w:rsidRDefault="0044664A" w:rsidP="0044664A">
            <w:pPr>
              <w:pStyle w:val="TableLeft"/>
              <w:numPr>
                <w:ilvl w:val="0"/>
                <w:numId w:val="10"/>
              </w:numPr>
              <w:tabs>
                <w:tab w:val="left" w:pos="177"/>
              </w:tabs>
              <w:ind w:left="29" w:firstLine="0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 из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области +5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: AUC=0,85, чувствительность и специфичность — 0,58 и 0,91 соответственно</w:t>
            </w:r>
          </w:p>
          <w:p w14:paraId="0B2DF3A4" w14:textId="77777777" w:rsidR="0044664A" w:rsidRPr="0044664A" w:rsidRDefault="0044664A" w:rsidP="00A4438C">
            <w:pPr>
              <w:pStyle w:val="TableLeft"/>
              <w:ind w:left="29"/>
              <w:rPr>
                <w:b/>
                <w:bCs/>
                <w:color w:val="auto"/>
              </w:rPr>
            </w:pPr>
          </w:p>
        </w:tc>
      </w:tr>
    </w:tbl>
    <w:p w14:paraId="7EBB967B" w14:textId="77777777" w:rsidR="0044664A" w:rsidRPr="0044664A" w:rsidRDefault="0044664A" w:rsidP="0044664A">
      <w:pPr>
        <w:pStyle w:val="TablNote"/>
        <w:rPr>
          <w:b/>
          <w:bCs/>
          <w:color w:val="auto"/>
        </w:rPr>
      </w:pPr>
      <w:r w:rsidRPr="0044664A">
        <w:rPr>
          <w:i/>
          <w:iCs/>
          <w:color w:val="auto"/>
        </w:rPr>
        <w:t>Примечание</w:t>
      </w:r>
      <w:r w:rsidRPr="0044664A">
        <w:rPr>
          <w:color w:val="auto"/>
        </w:rPr>
        <w:t xml:space="preserve">. </w:t>
      </w:r>
      <w:proofErr w:type="spellStart"/>
      <w:r w:rsidRPr="0044664A">
        <w:rPr>
          <w:color w:val="auto"/>
          <w:lang w:val="en-US"/>
        </w:rPr>
        <w:t>pCR</w:t>
      </w:r>
      <w:proofErr w:type="spellEnd"/>
      <w:r w:rsidRPr="0044664A">
        <w:rPr>
          <w:color w:val="auto"/>
          <w:lang w:val="en-US"/>
        </w:rPr>
        <w:t> </w:t>
      </w:r>
      <w:r w:rsidRPr="0044664A">
        <w:rPr>
          <w:color w:val="auto"/>
        </w:rPr>
        <w:t>(</w:t>
      </w:r>
      <w:proofErr w:type="spellStart"/>
      <w:r w:rsidRPr="0044664A">
        <w:rPr>
          <w:color w:val="auto"/>
        </w:rPr>
        <w:t>pathological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Complete</w:t>
      </w:r>
      <w:proofErr w:type="spellEnd"/>
      <w:r w:rsidRPr="0044664A">
        <w:rPr>
          <w:color w:val="auto"/>
        </w:rPr>
        <w:t xml:space="preserve"> Response)</w:t>
      </w:r>
      <w:r w:rsidRPr="0044664A">
        <w:rPr>
          <w:color w:val="auto"/>
          <w:lang w:val="en-US"/>
        </w:rPr>
        <w:t> </w:t>
      </w:r>
      <w:r w:rsidRPr="0044664A">
        <w:rPr>
          <w:color w:val="auto"/>
        </w:rPr>
        <w:t xml:space="preserve">— патологический полный ответ; НАХТ — </w:t>
      </w:r>
      <w:proofErr w:type="spellStart"/>
      <w:r w:rsidRPr="0044664A">
        <w:rPr>
          <w:color w:val="auto"/>
        </w:rPr>
        <w:t>неоадъювантная</w:t>
      </w:r>
      <w:proofErr w:type="spellEnd"/>
      <w:r w:rsidRPr="0044664A">
        <w:rPr>
          <w:color w:val="auto"/>
        </w:rPr>
        <w:t xml:space="preserve"> химиотерапия; КСМГ</w:t>
      </w:r>
      <w:r w:rsidRPr="0044664A">
        <w:rPr>
          <w:color w:val="auto"/>
          <w:lang w:val="en-US"/>
        </w:rPr>
        <w:t> </w:t>
      </w:r>
      <w:r w:rsidRPr="0044664A">
        <w:rPr>
          <w:color w:val="auto"/>
        </w:rPr>
        <w:t xml:space="preserve">— контрастно-усиленная спектральная маммография; </w:t>
      </w:r>
      <w:r w:rsidRPr="0044664A">
        <w:rPr>
          <w:color w:val="auto"/>
          <w:lang w:val="en-US"/>
        </w:rPr>
        <w:t>CGV</w:t>
      </w:r>
      <w:r w:rsidRPr="0044664A">
        <w:rPr>
          <w:color w:val="auto"/>
        </w:rPr>
        <w:t xml:space="preserve"> (</w:t>
      </w:r>
      <w:proofErr w:type="spellStart"/>
      <w:r w:rsidRPr="0044664A">
        <w:rPr>
          <w:color w:val="auto"/>
        </w:rPr>
        <w:t>Contrast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Gradient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Volume</w:t>
      </w:r>
      <w:proofErr w:type="spellEnd"/>
      <w:r w:rsidRPr="0044664A">
        <w:rPr>
          <w:color w:val="auto"/>
        </w:rPr>
        <w:t xml:space="preserve">) — градиент усиления; </w:t>
      </w:r>
      <w:r w:rsidRPr="0044664A">
        <w:rPr>
          <w:color w:val="auto"/>
          <w:lang w:val="en-US"/>
        </w:rPr>
        <w:t>non</w:t>
      </w:r>
      <w:r w:rsidRPr="0044664A">
        <w:rPr>
          <w:color w:val="auto"/>
        </w:rPr>
        <w:t>-</w:t>
      </w:r>
      <w:proofErr w:type="spellStart"/>
      <w:r w:rsidRPr="0044664A">
        <w:rPr>
          <w:color w:val="auto"/>
          <w:lang w:val="en-US"/>
        </w:rPr>
        <w:t>pCR</w:t>
      </w:r>
      <w:proofErr w:type="spellEnd"/>
      <w:r w:rsidRPr="0044664A">
        <w:rPr>
          <w:color w:val="auto"/>
        </w:rPr>
        <w:t xml:space="preserve"> (</w:t>
      </w:r>
      <w:r w:rsidRPr="0044664A">
        <w:rPr>
          <w:color w:val="auto"/>
          <w:lang w:val="en-US"/>
        </w:rPr>
        <w:t>non</w:t>
      </w:r>
      <w:r w:rsidRPr="0044664A">
        <w:rPr>
          <w:color w:val="auto"/>
        </w:rPr>
        <w:t>-</w:t>
      </w:r>
      <w:proofErr w:type="spellStart"/>
      <w:r w:rsidRPr="0044664A">
        <w:rPr>
          <w:color w:val="auto"/>
        </w:rPr>
        <w:t>pathological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Complete</w:t>
      </w:r>
      <w:proofErr w:type="spellEnd"/>
      <w:r w:rsidRPr="0044664A">
        <w:rPr>
          <w:color w:val="auto"/>
        </w:rPr>
        <w:t xml:space="preserve"> Response) — отсутствие полного патоморфологического ответа; </w:t>
      </w:r>
      <w:r w:rsidRPr="0044664A">
        <w:rPr>
          <w:color w:val="auto"/>
          <w:lang w:val="en-US"/>
        </w:rPr>
        <w:t>AUC</w:t>
      </w:r>
      <w:r w:rsidRPr="0044664A">
        <w:rPr>
          <w:color w:val="auto"/>
        </w:rPr>
        <w:t> (</w:t>
      </w:r>
      <w:r w:rsidRPr="0044664A">
        <w:rPr>
          <w:color w:val="auto"/>
          <w:lang w:val="en-US"/>
        </w:rPr>
        <w:t>Area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Under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the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Curve</w:t>
      </w:r>
      <w:r w:rsidRPr="0044664A">
        <w:rPr>
          <w:color w:val="auto"/>
        </w:rPr>
        <w:t xml:space="preserve">) — площадь под кривой; </w:t>
      </w:r>
      <w:r w:rsidRPr="0044664A">
        <w:rPr>
          <w:color w:val="auto"/>
          <w:lang w:val="en-US"/>
        </w:rPr>
        <w:t>Ki</w:t>
      </w:r>
      <w:r w:rsidRPr="0044664A">
        <w:rPr>
          <w:color w:val="auto"/>
        </w:rPr>
        <w:t xml:space="preserve">-67 — индекс пролиферативной активности; </w:t>
      </w:r>
      <w:r w:rsidRPr="0044664A">
        <w:rPr>
          <w:color w:val="auto"/>
          <w:lang w:val="en-US"/>
        </w:rPr>
        <w:t>HER</w:t>
      </w:r>
      <w:r w:rsidRPr="0044664A">
        <w:rPr>
          <w:color w:val="auto"/>
        </w:rPr>
        <w:t>2 (</w:t>
      </w:r>
      <w:r w:rsidRPr="0044664A">
        <w:rPr>
          <w:color w:val="auto"/>
          <w:lang w:val="en-US"/>
        </w:rPr>
        <w:t>Human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Epidermal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Growth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Factor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Receptor</w:t>
      </w:r>
      <w:r w:rsidRPr="0044664A">
        <w:rPr>
          <w:color w:val="auto"/>
        </w:rPr>
        <w:t xml:space="preserve"> 2) — рецептор эпидермального фактора роста человека 2-го типа; </w:t>
      </w:r>
      <w:r w:rsidRPr="0044664A">
        <w:rPr>
          <w:color w:val="auto"/>
          <w:lang w:val="en-US"/>
        </w:rPr>
        <w:t>BPE</w:t>
      </w:r>
      <w:r w:rsidRPr="0044664A">
        <w:rPr>
          <w:color w:val="auto"/>
        </w:rPr>
        <w:t> (</w:t>
      </w:r>
      <w:r w:rsidRPr="0044664A">
        <w:rPr>
          <w:color w:val="auto"/>
          <w:lang w:val="en-US"/>
        </w:rPr>
        <w:t>Background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Parenchymal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Enhancement</w:t>
      </w:r>
      <w:r w:rsidRPr="0044664A">
        <w:rPr>
          <w:color w:val="auto"/>
        </w:rPr>
        <w:t xml:space="preserve">) — фоновое усиление паренхимы; </w:t>
      </w:r>
      <w:r w:rsidRPr="0044664A">
        <w:rPr>
          <w:color w:val="auto"/>
          <w:lang w:val="en-US"/>
        </w:rPr>
        <w:t>LBP</w:t>
      </w:r>
      <w:r w:rsidRPr="0044664A">
        <w:rPr>
          <w:color w:val="auto"/>
        </w:rPr>
        <w:t> (</w:t>
      </w:r>
      <w:r w:rsidRPr="0044664A">
        <w:rPr>
          <w:color w:val="auto"/>
          <w:lang w:val="en-US"/>
        </w:rPr>
        <w:t>Local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Binary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Patterns</w:t>
      </w:r>
      <w:r w:rsidRPr="0044664A">
        <w:rPr>
          <w:color w:val="auto"/>
        </w:rPr>
        <w:t>) — локальные бинарные паттерны.</w:t>
      </w:r>
    </w:p>
    <w:p w14:paraId="7BEA5358" w14:textId="77777777" w:rsidR="00952736" w:rsidRPr="0044664A" w:rsidRDefault="00952736"/>
    <w:sectPr w:rsidR="00952736" w:rsidRPr="0044664A" w:rsidSect="0044664A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15FA" w14:textId="77777777" w:rsidR="00CB6D08" w:rsidRDefault="00CB6D08" w:rsidP="0044664A">
      <w:pPr>
        <w:spacing w:line="240" w:lineRule="auto"/>
      </w:pPr>
      <w:r>
        <w:separator/>
      </w:r>
    </w:p>
  </w:endnote>
  <w:endnote w:type="continuationSeparator" w:id="0">
    <w:p w14:paraId="0367403A" w14:textId="77777777" w:rsidR="00CB6D08" w:rsidRDefault="00CB6D08" w:rsidP="0044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2C19" w14:textId="77777777" w:rsidR="00CB6D08" w:rsidRDefault="00CB6D08" w:rsidP="0044664A">
      <w:pPr>
        <w:spacing w:line="240" w:lineRule="auto"/>
      </w:pPr>
      <w:r>
        <w:separator/>
      </w:r>
    </w:p>
  </w:footnote>
  <w:footnote w:type="continuationSeparator" w:id="0">
    <w:p w14:paraId="7F3339C2" w14:textId="77777777" w:rsidR="00CB6D08" w:rsidRDefault="00CB6D08" w:rsidP="00446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9BC7" w14:textId="15DF6C7D" w:rsidR="0044664A" w:rsidRPr="00BD4797" w:rsidRDefault="0044664A" w:rsidP="0044664A">
    <w:pPr>
      <w:pStyle w:val="ae"/>
      <w:jc w:val="center"/>
      <w:rPr>
        <w:lang w:val="en-US"/>
      </w:rPr>
    </w:pPr>
    <w:r w:rsidRPr="00BD4797">
      <w:rPr>
        <w:lang w:val="en-US"/>
      </w:rPr>
      <w:t xml:space="preserve">Digital Diagnostics </w:t>
    </w:r>
  </w:p>
  <w:p w14:paraId="008D0746" w14:textId="77777777" w:rsidR="0044664A" w:rsidRPr="00321B07" w:rsidRDefault="0044664A" w:rsidP="0044664A">
    <w:pPr>
      <w:pStyle w:val="ae"/>
      <w:jc w:val="center"/>
      <w:rPr>
        <w:b/>
        <w:bCs/>
      </w:rPr>
    </w:pPr>
    <w:r>
      <w:rPr>
        <w:b/>
        <w:bCs/>
      </w:rPr>
      <w:t>Научные</w:t>
    </w:r>
    <w:r w:rsidRPr="00321B07">
      <w:rPr>
        <w:b/>
        <w:bCs/>
      </w:rPr>
      <w:t xml:space="preserve"> </w:t>
    </w:r>
    <w:r>
      <w:rPr>
        <w:b/>
        <w:bCs/>
      </w:rPr>
      <w:t>обзоры</w:t>
    </w:r>
    <w:r w:rsidRPr="00321B07">
      <w:rPr>
        <w:b/>
        <w:bCs/>
      </w:rPr>
      <w:t xml:space="preserve"> | </w:t>
    </w:r>
    <w:r w:rsidRPr="00BD4797">
      <w:rPr>
        <w:b/>
        <w:bCs/>
        <w:lang w:val="en-US"/>
      </w:rPr>
      <w:t>Reviews</w:t>
    </w:r>
  </w:p>
  <w:p w14:paraId="3D5CC413" w14:textId="4DDB5D29" w:rsidR="0044664A" w:rsidRPr="00AB5E3F" w:rsidRDefault="0044664A" w:rsidP="0044664A">
    <w:pPr>
      <w:pBdr>
        <w:bottom w:val="single" w:sz="12" w:space="1" w:color="auto"/>
      </w:pBdr>
      <w:spacing w:line="240" w:lineRule="auto"/>
      <w:jc w:val="center"/>
    </w:pPr>
    <w:r w:rsidRPr="00BD4797">
      <w:rPr>
        <w:lang w:val="en-US"/>
      </w:rPr>
      <w:t>D</w:t>
    </w:r>
    <w:r w:rsidRPr="00BD4797">
      <w:rPr>
        <w:color w:val="000000" w:themeColor="text1"/>
        <w:lang w:val="en-US"/>
      </w:rPr>
      <w:t>OI</w:t>
    </w:r>
    <w:r w:rsidRPr="00321B07">
      <w:rPr>
        <w:color w:val="000000" w:themeColor="text1"/>
      </w:rPr>
      <w:t>:</w:t>
    </w:r>
    <w:r w:rsidRPr="00D35DDA">
      <w:rPr>
        <w:color w:val="000000" w:themeColor="text1"/>
        <w:lang w:val="en-US"/>
      </w:rPr>
      <w:t> </w:t>
    </w:r>
    <w:hyperlink r:id="rId1" w:history="1">
      <w:r w:rsidR="00AB5E3F" w:rsidRPr="00DE100D">
        <w:rPr>
          <w:rStyle w:val="af2"/>
          <w:sz w:val="24"/>
          <w:lang w:val="en-US"/>
        </w:rPr>
        <w:t>https</w:t>
      </w:r>
      <w:r w:rsidR="00AB5E3F" w:rsidRPr="00DE100D">
        <w:rPr>
          <w:rStyle w:val="af2"/>
          <w:sz w:val="24"/>
        </w:rPr>
        <w:t>://</w:t>
      </w:r>
      <w:proofErr w:type="spellStart"/>
      <w:r w:rsidR="00AB5E3F" w:rsidRPr="00DE100D">
        <w:rPr>
          <w:rStyle w:val="af2"/>
          <w:sz w:val="24"/>
          <w:lang w:val="en-US"/>
        </w:rPr>
        <w:t>doi</w:t>
      </w:r>
      <w:proofErr w:type="spellEnd"/>
      <w:r w:rsidR="00AB5E3F" w:rsidRPr="00DE100D">
        <w:rPr>
          <w:rStyle w:val="af2"/>
          <w:sz w:val="24"/>
        </w:rPr>
        <w:t>.</w:t>
      </w:r>
      <w:r w:rsidR="00AB5E3F" w:rsidRPr="00DE100D">
        <w:rPr>
          <w:rStyle w:val="af2"/>
          <w:sz w:val="24"/>
          <w:lang w:val="en-US"/>
        </w:rPr>
        <w:t>org</w:t>
      </w:r>
      <w:r w:rsidR="00AB5E3F" w:rsidRPr="00DE100D">
        <w:rPr>
          <w:rStyle w:val="af2"/>
          <w:sz w:val="24"/>
        </w:rPr>
        <w:t>/10.17816/</w:t>
      </w:r>
      <w:r w:rsidR="00AB5E3F" w:rsidRPr="00DE100D">
        <w:rPr>
          <w:rStyle w:val="af2"/>
          <w:sz w:val="24"/>
          <w:lang w:val="en-US"/>
        </w:rPr>
        <w:t>DD</w:t>
      </w:r>
      <w:r w:rsidR="00AB5E3F" w:rsidRPr="00DE100D">
        <w:rPr>
          <w:rStyle w:val="af2"/>
          <w:sz w:val="24"/>
        </w:rPr>
        <w:t>634972-4348463</w:t>
      </w:r>
    </w:hyperlink>
    <w:r w:rsidR="00AB5E3F" w:rsidRPr="00AB5E3F"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C85"/>
    <w:multiLevelType w:val="hybridMultilevel"/>
    <w:tmpl w:val="EEA02784"/>
    <w:lvl w:ilvl="0" w:tplc="3CF01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13F1"/>
    <w:multiLevelType w:val="hybridMultilevel"/>
    <w:tmpl w:val="CE680EEE"/>
    <w:lvl w:ilvl="0" w:tplc="3BB4C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42D3"/>
    <w:multiLevelType w:val="hybridMultilevel"/>
    <w:tmpl w:val="A0B49B8C"/>
    <w:lvl w:ilvl="0" w:tplc="CF743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0499C"/>
    <w:multiLevelType w:val="hybridMultilevel"/>
    <w:tmpl w:val="B160242C"/>
    <w:lvl w:ilvl="0" w:tplc="ED4A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07EDB"/>
    <w:multiLevelType w:val="hybridMultilevel"/>
    <w:tmpl w:val="5E0A1CEE"/>
    <w:lvl w:ilvl="0" w:tplc="3704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15924"/>
    <w:multiLevelType w:val="hybridMultilevel"/>
    <w:tmpl w:val="D5860BB2"/>
    <w:lvl w:ilvl="0" w:tplc="301E5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F5D7C"/>
    <w:multiLevelType w:val="hybridMultilevel"/>
    <w:tmpl w:val="6F14C5A6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97DE1"/>
    <w:multiLevelType w:val="hybridMultilevel"/>
    <w:tmpl w:val="F5600DAE"/>
    <w:lvl w:ilvl="0" w:tplc="0C068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7B55"/>
    <w:multiLevelType w:val="hybridMultilevel"/>
    <w:tmpl w:val="599AC926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667B8"/>
    <w:multiLevelType w:val="hybridMultilevel"/>
    <w:tmpl w:val="9BCC8FBE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8080">
    <w:abstractNumId w:val="4"/>
  </w:num>
  <w:num w:numId="2" w16cid:durableId="721059276">
    <w:abstractNumId w:val="7"/>
  </w:num>
  <w:num w:numId="3" w16cid:durableId="1307777586">
    <w:abstractNumId w:val="1"/>
  </w:num>
  <w:num w:numId="4" w16cid:durableId="1580018867">
    <w:abstractNumId w:val="0"/>
  </w:num>
  <w:num w:numId="5" w16cid:durableId="1375736603">
    <w:abstractNumId w:val="2"/>
  </w:num>
  <w:num w:numId="6" w16cid:durableId="1085304694">
    <w:abstractNumId w:val="3"/>
  </w:num>
  <w:num w:numId="7" w16cid:durableId="1924141585">
    <w:abstractNumId w:val="5"/>
  </w:num>
  <w:num w:numId="8" w16cid:durableId="358240243">
    <w:abstractNumId w:val="6"/>
  </w:num>
  <w:num w:numId="9" w16cid:durableId="877089349">
    <w:abstractNumId w:val="9"/>
  </w:num>
  <w:num w:numId="10" w16cid:durableId="1295912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4A"/>
    <w:rsid w:val="00073613"/>
    <w:rsid w:val="000A5C75"/>
    <w:rsid w:val="00321B07"/>
    <w:rsid w:val="00444397"/>
    <w:rsid w:val="0044664A"/>
    <w:rsid w:val="004E08FB"/>
    <w:rsid w:val="00567C73"/>
    <w:rsid w:val="00660D1C"/>
    <w:rsid w:val="00952736"/>
    <w:rsid w:val="00AB5E3F"/>
    <w:rsid w:val="00CB1862"/>
    <w:rsid w:val="00CB6D08"/>
    <w:rsid w:val="00D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497"/>
  <w15:chartTrackingRefBased/>
  <w15:docId w15:val="{13E70970-377A-4B06-B0DC-CC8C013C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64A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567C7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567C73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567C7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567C7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67C7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567C7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567C7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567C7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567C7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567C73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67C7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660D1C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567C73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67C7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67C7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660D1C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567C7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67C7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67C7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67C7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67C7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67C73"/>
    <w:pPr>
      <w:jc w:val="right"/>
    </w:pPr>
    <w:rPr>
      <w:lang w:val="ru-RU"/>
    </w:rPr>
  </w:style>
  <w:style w:type="paragraph" w:customStyle="1" w:styleId="Text05">
    <w:name w:val="Text_05"/>
    <w:basedOn w:val="5"/>
    <w:rsid w:val="00567C73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660D1C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567C7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67C7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67C73"/>
  </w:style>
  <w:style w:type="paragraph" w:customStyle="1" w:styleId="Text06PetitNo">
    <w:name w:val="Text_06_Petit_No"/>
    <w:basedOn w:val="Text06Petit"/>
    <w:rsid w:val="00567C73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660D1C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567C73"/>
  </w:style>
  <w:style w:type="paragraph" w:customStyle="1" w:styleId="Text07Petit">
    <w:name w:val="Text_07_Petit"/>
    <w:basedOn w:val="7"/>
    <w:rsid w:val="00567C7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67C73"/>
    <w:pPr>
      <w:ind w:left="170" w:firstLine="0"/>
    </w:pPr>
  </w:style>
  <w:style w:type="character" w:customStyle="1" w:styleId="80">
    <w:name w:val="Заголовок 8 Знак"/>
    <w:basedOn w:val="a0"/>
    <w:link w:val="8"/>
    <w:rsid w:val="00660D1C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567C73"/>
  </w:style>
  <w:style w:type="paragraph" w:customStyle="1" w:styleId="Text08Petit">
    <w:name w:val="Text_08_Petit"/>
    <w:basedOn w:val="Text08"/>
    <w:rsid w:val="00567C7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67C73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660D1C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567C7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67C7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567C73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567C7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660D1C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567C73"/>
  </w:style>
  <w:style w:type="character" w:customStyle="1" w:styleId="20">
    <w:name w:val="Заголовок 2 Знак"/>
    <w:basedOn w:val="a0"/>
    <w:link w:val="2"/>
    <w:rsid w:val="00660D1C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567C73"/>
  </w:style>
  <w:style w:type="character" w:customStyle="1" w:styleId="30">
    <w:name w:val="Заголовок 3 Знак"/>
    <w:basedOn w:val="a0"/>
    <w:link w:val="3"/>
    <w:rsid w:val="00660D1C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567C73"/>
    <w:pPr>
      <w:ind w:left="0" w:firstLine="0"/>
    </w:pPr>
  </w:style>
  <w:style w:type="paragraph" w:customStyle="1" w:styleId="Title04">
    <w:name w:val="Title_04"/>
    <w:basedOn w:val="4"/>
    <w:rsid w:val="00567C73"/>
    <w:pPr>
      <w:ind w:left="0" w:firstLine="0"/>
      <w:jc w:val="left"/>
    </w:pPr>
  </w:style>
  <w:style w:type="paragraph" w:styleId="a3">
    <w:name w:val="Title"/>
    <w:basedOn w:val="a"/>
    <w:next w:val="a"/>
    <w:link w:val="a4"/>
    <w:uiPriority w:val="10"/>
    <w:qFormat/>
    <w:rsid w:val="0044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6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664A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64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6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64A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466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6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64A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4466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664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44664A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44664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44664A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44664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664A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character" w:styleId="af2">
    <w:name w:val="Hyperlink"/>
    <w:uiPriority w:val="99"/>
    <w:rsid w:val="0044664A"/>
    <w:rPr>
      <w:u w:val="single"/>
    </w:rPr>
  </w:style>
  <w:style w:type="character" w:styleId="af3">
    <w:name w:val="Unresolved Mention"/>
    <w:basedOn w:val="a0"/>
    <w:uiPriority w:val="99"/>
    <w:semiHidden/>
    <w:unhideWhenUsed/>
    <w:rsid w:val="0032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DD634972-434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Филиппов</dc:creator>
  <cp:keywords/>
  <dc:description/>
  <cp:lastModifiedBy>Юрий Филиппов</cp:lastModifiedBy>
  <cp:revision>3</cp:revision>
  <dcterms:created xsi:type="dcterms:W3CDTF">2025-06-23T15:17:00Z</dcterms:created>
  <dcterms:modified xsi:type="dcterms:W3CDTF">2025-06-23T15:22:00Z</dcterms:modified>
</cp:coreProperties>
</file>