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C17D" w14:textId="77777777" w:rsidR="001B2200" w:rsidRPr="001B2200" w:rsidRDefault="001B2200" w:rsidP="001B2200">
      <w:pPr>
        <w:pStyle w:val="TableName"/>
        <w:rPr>
          <w:b w:val="0"/>
          <w:bCs/>
          <w:color w:val="auto"/>
        </w:rPr>
      </w:pPr>
      <w:r w:rsidRPr="001B2200">
        <w:rPr>
          <w:color w:val="auto"/>
        </w:rPr>
        <w:t xml:space="preserve">Приложение 2. </w:t>
      </w:r>
      <w:r w:rsidRPr="001B2200">
        <w:rPr>
          <w:b w:val="0"/>
          <w:bCs/>
          <w:color w:val="auto"/>
        </w:rPr>
        <w:t xml:space="preserve">Применение ультразвукового исследования для оценки ответа на </w:t>
      </w:r>
      <w:proofErr w:type="spellStart"/>
      <w:r w:rsidRPr="001B2200">
        <w:rPr>
          <w:b w:val="0"/>
          <w:bCs/>
          <w:color w:val="auto"/>
        </w:rPr>
        <w:t>неоадъювантную</w:t>
      </w:r>
      <w:proofErr w:type="spellEnd"/>
      <w:r w:rsidRPr="001B2200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45DABA0B" w14:textId="77777777" w:rsidR="001B2200" w:rsidRPr="001B2200" w:rsidRDefault="001B2200" w:rsidP="001B2200">
      <w:pPr>
        <w:pStyle w:val="TableName"/>
        <w:rPr>
          <w:b w:val="0"/>
          <w:color w:val="auto"/>
          <w:lang w:val="en-US"/>
        </w:rPr>
      </w:pPr>
      <w:r w:rsidRPr="001B2200">
        <w:rPr>
          <w:color w:val="auto"/>
          <w:lang w:val="en-US"/>
        </w:rPr>
        <w:t xml:space="preserve">Supplement 2. </w:t>
      </w:r>
      <w:r w:rsidRPr="001B2200">
        <w:rPr>
          <w:b w:val="0"/>
          <w:bCs/>
          <w:color w:val="auto"/>
          <w:lang w:val="en-US"/>
        </w:rPr>
        <w:t>Application of ultrasound for evaluating the response to neoadjuvant chemotherapy in breast cancer</w:t>
      </w:r>
      <w:r w:rsidRPr="001B2200">
        <w:rPr>
          <w:bCs/>
          <w:color w:val="auto"/>
          <w:lang w:val="en-US"/>
        </w:rPr>
        <w:t xml:space="preserve"> </w:t>
      </w:r>
      <w:r w:rsidRPr="001B2200">
        <w:rPr>
          <w:b w:val="0"/>
          <w:color w:val="auto"/>
          <w:lang w:val="en-US"/>
        </w:rPr>
        <w:t>patients</w:t>
      </w:r>
    </w:p>
    <w:tbl>
      <w:tblPr>
        <w:tblStyle w:val="ac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9"/>
        <w:gridCol w:w="2114"/>
        <w:gridCol w:w="2114"/>
        <w:gridCol w:w="1354"/>
        <w:gridCol w:w="2960"/>
        <w:gridCol w:w="5214"/>
      </w:tblGrid>
      <w:tr w:rsidR="001B2200" w:rsidRPr="001B2200" w14:paraId="76E1A406" w14:textId="77777777" w:rsidTr="00A4438C">
        <w:trPr>
          <w:tblHeader/>
        </w:trPr>
        <w:tc>
          <w:tcPr>
            <w:tcW w:w="1135" w:type="dxa"/>
          </w:tcPr>
          <w:p w14:paraId="73200578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2126" w:type="dxa"/>
          </w:tcPr>
          <w:p w14:paraId="2E7EC5C1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2126" w:type="dxa"/>
          </w:tcPr>
          <w:p w14:paraId="50754C03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276" w:type="dxa"/>
          </w:tcPr>
          <w:p w14:paraId="3EF1F332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2977" w:type="dxa"/>
          </w:tcPr>
          <w:p w14:paraId="630B926A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5245" w:type="dxa"/>
          </w:tcPr>
          <w:p w14:paraId="4DFCD0C3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Результаты</w:t>
            </w:r>
          </w:p>
        </w:tc>
      </w:tr>
      <w:tr w:rsidR="001B2200" w:rsidRPr="001B2200" w14:paraId="79192A68" w14:textId="77777777" w:rsidTr="00A4438C">
        <w:tc>
          <w:tcPr>
            <w:tcW w:w="1135" w:type="dxa"/>
          </w:tcPr>
          <w:p w14:paraId="495E7C8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A.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Sadeghi-Naini</w:t>
            </w:r>
            <w:proofErr w:type="spellEnd"/>
          </w:p>
          <w:p w14:paraId="48DD2F86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[39]</w:t>
            </w:r>
          </w:p>
        </w:tc>
        <w:tc>
          <w:tcPr>
            <w:tcW w:w="2126" w:type="dxa"/>
          </w:tcPr>
          <w:p w14:paraId="6874FCA5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изучить эффективность текстурного анализа результатов количественного УЗИ для раннего прогнозирования клинической и патологической реакции на НАХТ c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2126" w:type="dxa"/>
          </w:tcPr>
          <w:p w14:paraId="6B0D4564" w14:textId="77777777" w:rsidR="001B2200" w:rsidRPr="001B2200" w:rsidRDefault="001B2200" w:rsidP="00A4438C">
            <w:pPr>
              <w:pStyle w:val="TableLeft"/>
              <w:rPr>
                <w:rStyle w:val="ad"/>
                <w:i w:val="0"/>
                <w:iCs w:val="0"/>
                <w:color w:val="auto"/>
                <w:sz w:val="16"/>
                <w:szCs w:val="16"/>
                <w:lang w:val="en-US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20 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276" w:type="dxa"/>
          </w:tcPr>
          <w:p w14:paraId="772C0C67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6FE4CE04" w14:textId="77777777" w:rsidR="001B2200" w:rsidRPr="001B2200" w:rsidRDefault="001B2200" w:rsidP="001B2200">
            <w:pPr>
              <w:pStyle w:val="TableLeft"/>
              <w:numPr>
                <w:ilvl w:val="0"/>
                <w:numId w:val="1"/>
              </w:numPr>
              <w:ind w:left="184" w:hanging="142"/>
              <w:rPr>
                <w:rStyle w:val="ad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спектральные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биомаркёры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(MBF, SS и SI); текстурный анализ, выполненный на основе GLCM (контраст, корреляция и однородность)</w:t>
            </w:r>
          </w:p>
        </w:tc>
        <w:tc>
          <w:tcPr>
            <w:tcW w:w="5245" w:type="dxa"/>
          </w:tcPr>
          <w:p w14:paraId="37C0605F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эффективность прогнозирования с использованием линейного дискриминантного анализа при комбинировании спектральных и текстурных характеристик, полученных из MBF и SI: AUC, чувствительность и специфичность достигали 1;</w:t>
            </w:r>
          </w:p>
          <w:p w14:paraId="6A3DEC29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другие комбинации признаков имели следующие параметры эффективности: AUC — 0,59 до 0,99; чувствительность — 0,40–1; и специфичность — 0,47–0,93;</w:t>
            </w:r>
          </w:p>
          <w:p w14:paraId="6499BDF4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прогностическая модель, включающая сочетание текстурных и спектральных признаков, обладала наилучшей прогностической ценностью в отношении дифференциации 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 w:rsidDel="009F4170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на НАХТ</w:t>
            </w:r>
          </w:p>
        </w:tc>
      </w:tr>
      <w:tr w:rsidR="001B2200" w:rsidRPr="001B2200" w14:paraId="3AB7A54C" w14:textId="77777777" w:rsidTr="00A4438C">
        <w:tc>
          <w:tcPr>
            <w:tcW w:w="1135" w:type="dxa"/>
          </w:tcPr>
          <w:p w14:paraId="557CBFC8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L.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Sannachi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[40]</w:t>
            </w:r>
          </w:p>
        </w:tc>
        <w:tc>
          <w:tcPr>
            <w:tcW w:w="2126" w:type="dxa"/>
          </w:tcPr>
          <w:p w14:paraId="2DD639FE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разработать модели, основанные на признаках, извлечённых из количественного УЗИ и в ходе текстурного анализа, для раннего прогнозирования клинической и патологической реакции на НАХТ у 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2126" w:type="dxa"/>
          </w:tcPr>
          <w:p w14:paraId="0E7B930D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100 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РМЖ;</w:t>
            </w:r>
          </w:p>
          <w:p w14:paraId="35C52208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независимый тестовый набор, </w:t>
            </w:r>
            <w:r w:rsidRPr="001B2200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1B2200">
              <w:rPr>
                <w:color w:val="auto"/>
                <w:sz w:val="16"/>
                <w:szCs w:val="16"/>
              </w:rPr>
              <w:t>=24;</w:t>
            </w:r>
          </w:p>
        </w:tc>
        <w:tc>
          <w:tcPr>
            <w:tcW w:w="1276" w:type="dxa"/>
          </w:tcPr>
          <w:p w14:paraId="66B74B3F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20CE8E86" w14:textId="77777777" w:rsidR="001B2200" w:rsidRPr="001B2200" w:rsidRDefault="001B2200" w:rsidP="001B2200">
            <w:pPr>
              <w:pStyle w:val="TableLeft"/>
              <w:numPr>
                <w:ilvl w:val="0"/>
                <w:numId w:val="3"/>
              </w:numPr>
              <w:ind w:left="179" w:hanging="142"/>
              <w:jc w:val="both"/>
              <w:rPr>
                <w:rStyle w:val="ad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параметры количественного УЗИ (MBF, SS, SI, ACE, SAS, AS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D</w:t>
            </w:r>
            <w:r w:rsidRPr="001B2200">
              <w:rPr>
                <w:color w:val="auto"/>
                <w:sz w:val="16"/>
                <w:szCs w:val="16"/>
              </w:rPr>
              <w:t>, AAC и их средние значения) после 1-, 4- и 8-й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.; текстурный анализ, выполненный на основе GLCM (контраст, корреляция, однородность и энергетика)</w:t>
            </w:r>
          </w:p>
        </w:tc>
        <w:tc>
          <w:tcPr>
            <w:tcW w:w="5245" w:type="dxa"/>
          </w:tcPr>
          <w:p w14:paraId="2F3E6DF7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на основе опорных векторов для прогнозирования ответа на 1, 4 и 8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Соответственно (валидация 1) — точность: 0,82, 0,78 и 0,88; чувствительность: 0,87, 0,80 и 0,87; специфичность: 0,50, 0,67 и 1;</w:t>
            </w:r>
          </w:p>
          <w:p w14:paraId="090D7AEB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на основе опорных векторов для прогнозирования ответа</w:t>
            </w:r>
            <w:r w:rsidRPr="001B2200" w:rsidDel="009F4170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на 1, 4 и 8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соответственно (валидация 2) — точность: 0,72, 0,81 и 0,93; чувствительность: 0,73, 0,84 и 0,93; специфичность: 0,50, 0,67 и 1;</w:t>
            </w:r>
          </w:p>
          <w:p w14:paraId="65314935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наиболее важные признаки на 1- и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 —  изменения в текстуре; </w:t>
            </w:r>
          </w:p>
          <w:p w14:paraId="2ED26D2B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наиболее важные признаки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 — изменения</w:t>
            </w:r>
          </w:p>
          <w:p w14:paraId="59B2C836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средних параметров количественного УЗИ </w:t>
            </w:r>
          </w:p>
        </w:tc>
      </w:tr>
      <w:tr w:rsidR="001B2200" w:rsidRPr="001B2200" w14:paraId="41F1D0CA" w14:textId="77777777" w:rsidTr="00A4438C">
        <w:tc>
          <w:tcPr>
            <w:tcW w:w="1135" w:type="dxa"/>
          </w:tcPr>
          <w:p w14:paraId="324D1AB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D.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DiCenzo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[41]</w:t>
            </w:r>
          </w:p>
        </w:tc>
        <w:tc>
          <w:tcPr>
            <w:tcW w:w="2126" w:type="dxa"/>
          </w:tcPr>
          <w:p w14:paraId="5307C576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создание модели для раннего прогнозирования клинико-патологической реакции пациентов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 с использованием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признаков, извлечённых из количественного УЗИ до НАХТ</w:t>
            </w:r>
          </w:p>
        </w:tc>
        <w:tc>
          <w:tcPr>
            <w:tcW w:w="2126" w:type="dxa"/>
          </w:tcPr>
          <w:p w14:paraId="6C2F22E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82 пациентки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361" w:type="dxa"/>
          </w:tcPr>
          <w:p w14:paraId="675B9684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многоцентровое проспективное </w:t>
            </w:r>
          </w:p>
        </w:tc>
        <w:tc>
          <w:tcPr>
            <w:tcW w:w="2977" w:type="dxa"/>
          </w:tcPr>
          <w:p w14:paraId="3FAA3D9D" w14:textId="77777777" w:rsidR="001B2200" w:rsidRPr="001B2200" w:rsidRDefault="001B2200" w:rsidP="001B2200">
            <w:pPr>
              <w:pStyle w:val="TableLeft"/>
              <w:numPr>
                <w:ilvl w:val="0"/>
                <w:numId w:val="5"/>
              </w:numPr>
              <w:ind w:left="179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текстурный анализ изображений в B-режиме и параметрических карт количественного УЗИ (SS, SI, MBF, AS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D</w:t>
            </w:r>
            <w:r w:rsidRPr="001B2200">
              <w:rPr>
                <w:color w:val="auto"/>
                <w:sz w:val="16"/>
                <w:szCs w:val="16"/>
              </w:rPr>
              <w:t>, AAC, ACE и SAS) с использованием GLCM (контраст, корреляция, энергия, однородность)</w:t>
            </w:r>
          </w:p>
        </w:tc>
        <w:tc>
          <w:tcPr>
            <w:tcW w:w="5245" w:type="dxa"/>
          </w:tcPr>
          <w:p w14:paraId="010A8CF3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показатели с наилучшей прогностической ценностью (</w:t>
            </w:r>
            <w:r w:rsidRPr="001B2200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1B2200">
              <w:rPr>
                <w:color w:val="auto"/>
                <w:sz w:val="16"/>
                <w:szCs w:val="16"/>
              </w:rPr>
              <w:t> &lt;0,05): SS, MBF, ASD, AAC, ASD-контраст, AAC-контраст, AAC-энергия и AAC-однородность;</w:t>
            </w:r>
          </w:p>
          <w:p w14:paraId="0CCE02BF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>-ближайших соседей с лучшей прогностической ценностью: AUC=0,73, точность, чувствительность и специфичность — 87, 91 и 83% соответственно;</w:t>
            </w:r>
          </w:p>
          <w:p w14:paraId="564C2344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реакции пациенток на НАХТ можно предсказать с помощью предварительной оценки результатов количественного УЗИ с приемлемой точностью</w:t>
            </w:r>
          </w:p>
        </w:tc>
      </w:tr>
      <w:tr w:rsidR="001B2200" w:rsidRPr="001B2200" w14:paraId="1520201C" w14:textId="77777777" w:rsidTr="00A4438C">
        <w:tc>
          <w:tcPr>
            <w:tcW w:w="1135" w:type="dxa"/>
          </w:tcPr>
          <w:p w14:paraId="74E3B8E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H.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Tadayyon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[42]</w:t>
            </w:r>
          </w:p>
        </w:tc>
        <w:tc>
          <w:tcPr>
            <w:tcW w:w="2126" w:type="dxa"/>
          </w:tcPr>
          <w:p w14:paraId="5F38BEB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построить модель искусственной нейронной сети для прогнозирования клинических и патологических реакций, а также выживаемости пациентов до начала НАХТ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на основе данных количественного УЗИ и молекулярных маркёров</w:t>
            </w:r>
          </w:p>
        </w:tc>
        <w:tc>
          <w:tcPr>
            <w:tcW w:w="2126" w:type="dxa"/>
          </w:tcPr>
          <w:p w14:paraId="1EF8919A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100 пациенток: 2 группы — отвечающие и не отвечающие; 3 группы —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pPR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без ответа</w:t>
            </w:r>
          </w:p>
        </w:tc>
        <w:tc>
          <w:tcPr>
            <w:tcW w:w="1361" w:type="dxa"/>
          </w:tcPr>
          <w:p w14:paraId="40F679B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проспективное </w:t>
            </w:r>
          </w:p>
        </w:tc>
        <w:tc>
          <w:tcPr>
            <w:tcW w:w="2977" w:type="dxa"/>
          </w:tcPr>
          <w:p w14:paraId="4AA93BB9" w14:textId="77777777" w:rsidR="001B2200" w:rsidRPr="001B2200" w:rsidRDefault="001B2200" w:rsidP="001B2200">
            <w:pPr>
              <w:pStyle w:val="TableLeft"/>
              <w:numPr>
                <w:ilvl w:val="0"/>
                <w:numId w:val="11"/>
              </w:numPr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изображения в В-режиме и параметрические карты количественного УЗИ (SS, SI, MBF, ASD, AAC, ACE и SAS), текстурные характеристики с использованием GLCM (контрастность, корреляция,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энергия, однородность) и показатели качества изображения, которые сравнивают статистические характеристики из центральной части опухоли + краёв шириной до 5 мм</w:t>
            </w:r>
          </w:p>
        </w:tc>
        <w:tc>
          <w:tcPr>
            <w:tcW w:w="5245" w:type="dxa"/>
          </w:tcPr>
          <w:p w14:paraId="59650FE8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>модель искусственной нейронной сети для классификации пациенток с каким-либо ответом (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 +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pPR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) и без ответа продемонстрировала хорошую прогностическую ценность: AUC=0,96, точность, чувствительность и специфичность — 96, 93 и 98% соответственно</w:t>
            </w:r>
          </w:p>
        </w:tc>
      </w:tr>
      <w:tr w:rsidR="001B2200" w:rsidRPr="001B2200" w14:paraId="549BD1F7" w14:textId="77777777" w:rsidTr="00A4438C">
        <w:tc>
          <w:tcPr>
            <w:tcW w:w="1135" w:type="dxa"/>
          </w:tcPr>
          <w:p w14:paraId="0C7C8A1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J.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Fernandes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[45]</w:t>
            </w:r>
          </w:p>
        </w:tc>
        <w:tc>
          <w:tcPr>
            <w:tcW w:w="2126" w:type="dxa"/>
          </w:tcPr>
          <w:p w14:paraId="20C99B59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оценить способность ультразвуковой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прогнозировать ответ на НАХТ путём мониторинга изменений жёсткости опухоли, вызванных лечением</w:t>
            </w:r>
          </w:p>
        </w:tc>
        <w:tc>
          <w:tcPr>
            <w:tcW w:w="2126" w:type="dxa"/>
          </w:tcPr>
          <w:p w14:paraId="715971C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92 пациентки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361" w:type="dxa"/>
          </w:tcPr>
          <w:p w14:paraId="0F6E03CF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0A94D812" w14:textId="77777777" w:rsidR="001B2200" w:rsidRPr="001B2200" w:rsidRDefault="001B2200" w:rsidP="001B2200">
            <w:pPr>
              <w:pStyle w:val="TableLeft"/>
              <w:numPr>
                <w:ilvl w:val="0"/>
                <w:numId w:val="12"/>
              </w:numPr>
              <w:ind w:left="174" w:hanging="174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среднее значение SR, его процентное снижение по сравнению с исходным значением по данным цветных карт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</w:p>
        </w:tc>
        <w:tc>
          <w:tcPr>
            <w:tcW w:w="5245" w:type="dxa"/>
          </w:tcPr>
          <w:p w14:paraId="0B31E30A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1-й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=0,64, точность, чувствительность и специфичность — 0,72, 0,80 и 0,64 соответственно;</w:t>
            </w:r>
          </w:p>
          <w:p w14:paraId="13DFA877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=0,75, точность, чувствительность и специфичность — 0,84, 0,85 и 0,83 соответственно;</w:t>
            </w:r>
          </w:p>
          <w:p w14:paraId="064E88B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=0,77, точность, чувствительность и специфичность — 0,83, 0,87 и 0,80 соответственно;</w:t>
            </w:r>
          </w:p>
          <w:p w14:paraId="0DDEAF44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=0,81, точность, чувствительность и специфичность — 0,84, 0,84 и 0,85 соответственно;</w:t>
            </w:r>
          </w:p>
          <w:p w14:paraId="32F689B0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1-й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=0,44, точность, чувствительность и специфичность — 0,60, 0,84 и 0,36 соответственно;</w:t>
            </w:r>
          </w:p>
          <w:p w14:paraId="370CF17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=0,72, точность, чувствительность и специфичность — 0,73, 0,81 и 0,65 соответственно;</w:t>
            </w:r>
          </w:p>
          <w:p w14:paraId="069740FD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=0,66, точность, чувствительность и специфичность — 0,74, 0,95 и 0,54 соответственно;</w:t>
            </w:r>
          </w:p>
          <w:p w14:paraId="73A4E194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=0,64, точность, чувствительность и специфичность — 0,72, 0,85 и 0,55 соответственно;</w:t>
            </w:r>
          </w:p>
          <w:p w14:paraId="176EE966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изменения SR коррелируют с реакцией опухоли на НАХТ; </w:t>
            </w:r>
          </w:p>
          <w:p w14:paraId="14FCA0A2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эластографию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можно использовать для прогнозирования реакции через 2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</w:t>
            </w:r>
          </w:p>
          <w:p w14:paraId="3AAB31A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наилучшая эффективность — 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</w:t>
            </w:r>
          </w:p>
        </w:tc>
      </w:tr>
      <w:tr w:rsidR="001B2200" w:rsidRPr="001B2200" w14:paraId="55F85289" w14:textId="77777777" w:rsidTr="00A4438C">
        <w:tc>
          <w:tcPr>
            <w:tcW w:w="1135" w:type="dxa"/>
          </w:tcPr>
          <w:p w14:paraId="78D2E0D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Y.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Ma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[43]</w:t>
            </w:r>
          </w:p>
        </w:tc>
        <w:tc>
          <w:tcPr>
            <w:tcW w:w="2126" w:type="dxa"/>
          </w:tcPr>
          <w:p w14:paraId="4D07CE4D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изучить потенциал применения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 индекса Ki-67 в качестве предикторов ответа на НАХТ при инвазивном РМЖ</w:t>
            </w:r>
          </w:p>
        </w:tc>
        <w:tc>
          <w:tcPr>
            <w:tcW w:w="2126" w:type="dxa"/>
          </w:tcPr>
          <w:p w14:paraId="3F823D1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66 пациенток с инвазивным РМЖ (ответ классифицирован в соответствии с индексом RCB — 0, I, II и III) </w:t>
            </w:r>
          </w:p>
        </w:tc>
        <w:tc>
          <w:tcPr>
            <w:tcW w:w="1361" w:type="dxa"/>
          </w:tcPr>
          <w:p w14:paraId="026F2C8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проспективное</w:t>
            </w:r>
          </w:p>
        </w:tc>
        <w:tc>
          <w:tcPr>
            <w:tcW w:w="2977" w:type="dxa"/>
          </w:tcPr>
          <w:p w14:paraId="7E0CB45F" w14:textId="77777777" w:rsidR="001B2200" w:rsidRPr="001B2200" w:rsidRDefault="001B2200" w:rsidP="001B2200">
            <w:pPr>
              <w:pStyle w:val="TableLeft"/>
              <w:numPr>
                <w:ilvl w:val="0"/>
                <w:numId w:val="9"/>
              </w:numPr>
              <w:ind w:left="176" w:hanging="142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молекулярные признаки: ER, PR и Ki-67;</w:t>
            </w:r>
          </w:p>
          <w:p w14:paraId="4870A596" w14:textId="77777777" w:rsidR="001B2200" w:rsidRPr="001B2200" w:rsidRDefault="001B2200" w:rsidP="001B2200">
            <w:pPr>
              <w:pStyle w:val="TableLeft"/>
              <w:numPr>
                <w:ilvl w:val="0"/>
                <w:numId w:val="9"/>
              </w:numPr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жёсткость опухоли (E) в разные моменты времени — до НАХТ (E0), после 1-го и 2-го циклов (E1, E2) и перед операцией (E6), в дополнение к их относительным изменениям по сравнению с исходным значением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(ΔE1, ΔE2, ΔE6)</w:t>
            </w:r>
          </w:p>
        </w:tc>
        <w:tc>
          <w:tcPr>
            <w:tcW w:w="5245" w:type="dxa"/>
          </w:tcPr>
          <w:p w14:paraId="248D4CD3" w14:textId="77777777" w:rsidR="001B2200" w:rsidRPr="001B2200" w:rsidRDefault="001B2200" w:rsidP="001B2200">
            <w:pPr>
              <w:pStyle w:val="TableLeft"/>
              <w:numPr>
                <w:ilvl w:val="0"/>
                <w:numId w:val="14"/>
              </w:numPr>
              <w:tabs>
                <w:tab w:val="left" w:pos="0"/>
              </w:tabs>
              <w:ind w:left="14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модель прогнозирования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RCB I на основе ΔE2, Ki-67 и их комбинации обладала следующими показателями эффективности соответственно: точность — 0,76, 0,79 и 0,88; чувствительность — 0,67, 0,67и 1; специфичность — 0,89, 0,96 и 0,72;</w:t>
            </w:r>
          </w:p>
          <w:p w14:paraId="5BC9129E" w14:textId="77777777" w:rsidR="001B2200" w:rsidRPr="001B2200" w:rsidRDefault="001B2200" w:rsidP="001B2200">
            <w:pPr>
              <w:pStyle w:val="TableLeft"/>
              <w:numPr>
                <w:ilvl w:val="0"/>
                <w:numId w:val="10"/>
              </w:numPr>
              <w:tabs>
                <w:tab w:val="left" w:pos="0"/>
              </w:tabs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прогнозирования RCB-III по сравнению с другими группами пациентов на основе те же характеристик достигла следующих показателей эффективности: точность — 0,82, 0,84 и 0,93; чувствительность — 0,68, 0,86 и 0,95; специфичность — 0,80, 0,73 и 0,80;</w:t>
            </w:r>
          </w:p>
          <w:p w14:paraId="4BDC1AAE" w14:textId="77777777" w:rsidR="001B2200" w:rsidRPr="001B2200" w:rsidRDefault="001B2200" w:rsidP="001B2200">
            <w:pPr>
              <w:pStyle w:val="TableLeft"/>
              <w:numPr>
                <w:ilvl w:val="0"/>
                <w:numId w:val="10"/>
              </w:numPr>
              <w:tabs>
                <w:tab w:val="left" w:pos="0"/>
              </w:tabs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многомерная линейная регрессионная модель, объединяющая индекс Ki-67 с параметрами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после 2-го цикла НАХТ, показала лучшие диагностические результаты в сравнении с моделью, основанной только на одном признаке </w:t>
            </w:r>
          </w:p>
        </w:tc>
      </w:tr>
      <w:tr w:rsidR="001B2200" w:rsidRPr="001B2200" w14:paraId="11938C4E" w14:textId="77777777" w:rsidTr="00A4438C">
        <w:tc>
          <w:tcPr>
            <w:tcW w:w="1135" w:type="dxa"/>
          </w:tcPr>
          <w:p w14:paraId="32833CF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lastRenderedPageBreak/>
              <w:t>J.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Gu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[46]</w:t>
            </w:r>
          </w:p>
        </w:tc>
        <w:tc>
          <w:tcPr>
            <w:tcW w:w="2126" w:type="dxa"/>
          </w:tcPr>
          <w:p w14:paraId="6FC7B356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оценить роль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в раннем прогнозировании реакции пациенток с инвазивным РМЖ на НАХТ по шкале RCB</w:t>
            </w:r>
          </w:p>
        </w:tc>
        <w:tc>
          <w:tcPr>
            <w:tcW w:w="2126" w:type="dxa"/>
          </w:tcPr>
          <w:p w14:paraId="5B37ECF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62 пациентки с инвазивным РМЖ</w:t>
            </w:r>
          </w:p>
        </w:tc>
        <w:tc>
          <w:tcPr>
            <w:tcW w:w="1361" w:type="dxa"/>
          </w:tcPr>
          <w:p w14:paraId="0B8BA4C4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  <w:p w14:paraId="073CBA8A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проспективное</w:t>
            </w:r>
          </w:p>
        </w:tc>
        <w:tc>
          <w:tcPr>
            <w:tcW w:w="2977" w:type="dxa"/>
          </w:tcPr>
          <w:p w14:paraId="3FCCF09D" w14:textId="77777777" w:rsidR="001B2200" w:rsidRPr="001B2200" w:rsidRDefault="001B2200" w:rsidP="001B2200">
            <w:pPr>
              <w:pStyle w:val="TableLeft"/>
              <w:numPr>
                <w:ilvl w:val="0"/>
                <w:numId w:val="8"/>
              </w:numPr>
              <w:tabs>
                <w:tab w:val="left" w:pos="460"/>
              </w:tabs>
              <w:ind w:left="176" w:hanging="142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молекулярные признаки: ER, PR, HER2 и Ki-67.</w:t>
            </w:r>
          </w:p>
          <w:p w14:paraId="34377E85" w14:textId="77777777" w:rsidR="001B2200" w:rsidRPr="001B2200" w:rsidRDefault="001B2200" w:rsidP="001B2200">
            <w:pPr>
              <w:pStyle w:val="TableLeft"/>
              <w:numPr>
                <w:ilvl w:val="0"/>
                <w:numId w:val="8"/>
              </w:numPr>
              <w:tabs>
                <w:tab w:val="left" w:pos="460"/>
              </w:tabs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размер опухоли, средняя и максимальная эластичность, соотношение средней и максимальной эластичности (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E</w:t>
            </w:r>
            <w:r w:rsidRPr="001B2200">
              <w:rPr>
                <w:color w:val="auto"/>
                <w:sz w:val="16"/>
                <w:szCs w:val="16"/>
                <w:vertAlign w:val="subscript"/>
              </w:rPr>
              <w:t>mean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E</w:t>
            </w:r>
            <w:r w:rsidRPr="001B2200">
              <w:rPr>
                <w:color w:val="auto"/>
                <w:sz w:val="16"/>
                <w:szCs w:val="16"/>
                <w:vertAlign w:val="subscript"/>
              </w:rPr>
              <w:t>max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), частота характеристики массы</w:t>
            </w:r>
            <w:r w:rsidRPr="001B2200" w:rsidDel="00F63C9C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и изменение эластичности, частота характеристики массы</w:t>
            </w:r>
            <w:r w:rsidRPr="001B2200" w:rsidDel="00F63C9C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во времени</w:t>
            </w:r>
          </w:p>
        </w:tc>
        <w:tc>
          <w:tcPr>
            <w:tcW w:w="5245" w:type="dxa"/>
          </w:tcPr>
          <w:p w14:paraId="4FFD72BB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 основе параметров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имела следующие показатели эффективности: AUC=0,75, чувствительность и специфичность — 0,77, 0,75 соответственно;</w:t>
            </w:r>
          </w:p>
          <w:p w14:paraId="49275589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 основе параметров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 индекса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Ki</w:t>
            </w:r>
            <w:r w:rsidRPr="001B2200">
              <w:rPr>
                <w:color w:val="auto"/>
                <w:sz w:val="16"/>
                <w:szCs w:val="16"/>
              </w:rPr>
              <w:t>-67 имела следующие показатели эффективности: AUC=0,80, чувствительность и специфичность — 0,72 и 0,73 соответственно;</w:t>
            </w:r>
          </w:p>
          <w:p w14:paraId="05094E4D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сочетание индекса Ki-67 с некоторыми параметрами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улучшает эффективность прогнозирования; </w:t>
            </w:r>
          </w:p>
          <w:p w14:paraId="510D982B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частота характеристики массы — новый предиктор реакции, определяющий конечную точку НАХТ</w:t>
            </w:r>
          </w:p>
        </w:tc>
      </w:tr>
    </w:tbl>
    <w:p w14:paraId="647A4847" w14:textId="77777777" w:rsidR="001B2200" w:rsidRPr="001B2200" w:rsidRDefault="001B2200" w:rsidP="001B2200">
      <w:pPr>
        <w:pStyle w:val="TablNote"/>
        <w:rPr>
          <w:color w:val="auto"/>
        </w:rPr>
      </w:pPr>
      <w:r w:rsidRPr="001B2200">
        <w:rPr>
          <w:i/>
          <w:iCs/>
          <w:color w:val="auto"/>
        </w:rPr>
        <w:t>Примечание</w:t>
      </w:r>
      <w:r w:rsidRPr="001B2200">
        <w:rPr>
          <w:color w:val="auto"/>
        </w:rPr>
        <w:t xml:space="preserve">. УЗИ — ультразвуковое исследование; РМЖ — рак молочной железы; НАХТ — </w:t>
      </w:r>
      <w:proofErr w:type="spellStart"/>
      <w:r w:rsidRPr="001B2200">
        <w:rPr>
          <w:color w:val="auto"/>
        </w:rPr>
        <w:t>неоадъювантная</w:t>
      </w:r>
      <w:proofErr w:type="spellEnd"/>
      <w:r w:rsidRPr="001B2200">
        <w:rPr>
          <w:color w:val="auto"/>
        </w:rPr>
        <w:t xml:space="preserve"> химиотерапия; </w:t>
      </w:r>
      <w:proofErr w:type="spellStart"/>
      <w:r w:rsidRPr="001B2200">
        <w:rPr>
          <w:color w:val="auto"/>
          <w:lang w:val="en-US"/>
        </w:rPr>
        <w:t>pCR</w:t>
      </w:r>
      <w:proofErr w:type="spellEnd"/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(</w:t>
      </w:r>
      <w:proofErr w:type="spellStart"/>
      <w:r w:rsidRPr="001B2200">
        <w:rPr>
          <w:color w:val="auto"/>
        </w:rPr>
        <w:t>pathological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Complete</w:t>
      </w:r>
      <w:proofErr w:type="spellEnd"/>
      <w:r w:rsidRPr="001B2200">
        <w:rPr>
          <w:color w:val="auto"/>
        </w:rPr>
        <w:t xml:space="preserve"> Response)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полный патоморфологический ответ; MBF (</w:t>
      </w:r>
      <w:proofErr w:type="spellStart"/>
      <w:r w:rsidRPr="001B2200">
        <w:rPr>
          <w:color w:val="auto"/>
        </w:rPr>
        <w:t>Mid</w:t>
      </w:r>
      <w:proofErr w:type="spellEnd"/>
      <w:r w:rsidRPr="001B2200">
        <w:rPr>
          <w:color w:val="auto"/>
        </w:rPr>
        <w:t xml:space="preserve">-Band </w:t>
      </w:r>
      <w:proofErr w:type="spellStart"/>
      <w:r w:rsidRPr="001B2200">
        <w:rPr>
          <w:color w:val="auto"/>
        </w:rPr>
        <w:t>Fit</w:t>
      </w:r>
      <w:proofErr w:type="spellEnd"/>
      <w:r w:rsidRPr="001B2200">
        <w:rPr>
          <w:color w:val="auto"/>
        </w:rPr>
        <w:t>) — средняя полоса пропускания; GLCM (</w:t>
      </w:r>
      <w:proofErr w:type="spellStart"/>
      <w:r w:rsidRPr="001B2200">
        <w:rPr>
          <w:color w:val="auto"/>
        </w:rPr>
        <w:t>Gray</w:t>
      </w:r>
      <w:proofErr w:type="spellEnd"/>
      <w:r w:rsidRPr="001B2200">
        <w:rPr>
          <w:color w:val="auto"/>
        </w:rPr>
        <w:t>-Level Co-</w:t>
      </w:r>
      <w:proofErr w:type="spellStart"/>
      <w:r w:rsidRPr="001B2200">
        <w:rPr>
          <w:color w:val="auto"/>
        </w:rPr>
        <w:t>occurrence</w:t>
      </w:r>
      <w:proofErr w:type="spellEnd"/>
      <w:r w:rsidRPr="001B2200">
        <w:rPr>
          <w:color w:val="auto"/>
        </w:rPr>
        <w:t xml:space="preserve"> Matrix) — матрица совместной встречаемости уровней серого; SS (</w:t>
      </w:r>
      <w:proofErr w:type="spellStart"/>
      <w:r w:rsidRPr="001B2200">
        <w:rPr>
          <w:color w:val="auto"/>
        </w:rPr>
        <w:t>Spectral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Slope</w:t>
      </w:r>
      <w:proofErr w:type="spellEnd"/>
      <w:r w:rsidRPr="001B2200">
        <w:rPr>
          <w:color w:val="auto"/>
        </w:rPr>
        <w:t>) — спектральный наклон; SI (</w:t>
      </w:r>
      <w:proofErr w:type="spellStart"/>
      <w:r w:rsidRPr="001B2200">
        <w:rPr>
          <w:color w:val="auto"/>
        </w:rPr>
        <w:t>Spectral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Intercept</w:t>
      </w:r>
      <w:proofErr w:type="spellEnd"/>
      <w:r w:rsidRPr="001B2200">
        <w:rPr>
          <w:color w:val="auto"/>
        </w:rPr>
        <w:t xml:space="preserve">) — спектральный </w:t>
      </w:r>
      <w:proofErr w:type="spellStart"/>
      <w:r w:rsidRPr="001B2200">
        <w:rPr>
          <w:color w:val="auto"/>
        </w:rPr>
        <w:t>интерсепт</w:t>
      </w:r>
      <w:proofErr w:type="spellEnd"/>
      <w:r w:rsidRPr="001B2200">
        <w:rPr>
          <w:color w:val="auto"/>
        </w:rPr>
        <w:t>; RCB (</w:t>
      </w:r>
      <w:proofErr w:type="spellStart"/>
      <w:r w:rsidRPr="001B2200">
        <w:rPr>
          <w:color w:val="auto"/>
        </w:rPr>
        <w:t>Residual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Cancer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Burden</w:t>
      </w:r>
      <w:proofErr w:type="spellEnd"/>
      <w:r w:rsidRPr="001B2200">
        <w:rPr>
          <w:color w:val="auto"/>
        </w:rPr>
        <w:t xml:space="preserve">) — индекс остаточной опухолевой нагрузки; AUC (Area </w:t>
      </w:r>
      <w:proofErr w:type="spellStart"/>
      <w:r w:rsidRPr="001B2200">
        <w:rPr>
          <w:color w:val="auto"/>
        </w:rPr>
        <w:t>Under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the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Curve</w:t>
      </w:r>
      <w:proofErr w:type="spellEnd"/>
      <w:r w:rsidRPr="001B2200">
        <w:rPr>
          <w:color w:val="auto"/>
        </w:rPr>
        <w:t>) — площадь под кривой; Ki-67 — индекс пролиферативной активности; ER (</w:t>
      </w:r>
      <w:proofErr w:type="spellStart"/>
      <w:r w:rsidRPr="001B2200">
        <w:rPr>
          <w:color w:val="auto"/>
        </w:rPr>
        <w:t>Estrogen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>) — рецептор эстрогена; PR (</w:t>
      </w:r>
      <w:proofErr w:type="spellStart"/>
      <w:r w:rsidRPr="001B2200">
        <w:rPr>
          <w:color w:val="auto"/>
        </w:rPr>
        <w:t>Progesterone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 xml:space="preserve">) — рецептор прогестерона; E — жёсткость опухоли; HER2 (Human </w:t>
      </w:r>
      <w:proofErr w:type="spellStart"/>
      <w:r w:rsidRPr="001B2200">
        <w:rPr>
          <w:color w:val="auto"/>
        </w:rPr>
        <w:t>Epidermal</w:t>
      </w:r>
      <w:proofErr w:type="spellEnd"/>
      <w:r w:rsidRPr="001B2200">
        <w:rPr>
          <w:color w:val="auto"/>
        </w:rPr>
        <w:t xml:space="preserve"> Growth </w:t>
      </w:r>
      <w:proofErr w:type="spellStart"/>
      <w:r w:rsidRPr="001B2200">
        <w:rPr>
          <w:color w:val="auto"/>
        </w:rPr>
        <w:t>Factor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 xml:space="preserve"> 2) — рецептор эпидермального фактора роста человека 2-го типа; ACE (</w:t>
      </w:r>
      <w:r w:rsidRPr="001B2200">
        <w:rPr>
          <w:color w:val="auto"/>
          <w:lang w:val="en-US"/>
        </w:rPr>
        <w:t>Attenuation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Coefficient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Estimate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оценка коэффициента затухания; SAS (</w:t>
      </w:r>
      <w:proofErr w:type="spellStart"/>
      <w:r w:rsidRPr="001B2200">
        <w:rPr>
          <w:color w:val="auto"/>
          <w:lang w:val="en-US"/>
        </w:rPr>
        <w:t>Spasing</w:t>
      </w:r>
      <w:proofErr w:type="spellEnd"/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Between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Acoustic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Scattered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расстояние между рассеивающими частицами; AS</w:t>
      </w:r>
      <w:r w:rsidRPr="001B2200">
        <w:rPr>
          <w:color w:val="auto"/>
          <w:lang w:val="en-US"/>
        </w:rPr>
        <w:t>D </w:t>
      </w:r>
      <w:r w:rsidRPr="001B2200">
        <w:rPr>
          <w:color w:val="auto"/>
        </w:rPr>
        <w:t>(</w:t>
      </w:r>
      <w:r w:rsidRPr="001B2200">
        <w:rPr>
          <w:color w:val="auto"/>
          <w:lang w:val="en-US"/>
        </w:rPr>
        <w:t>Average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Scatterer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Diameter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средний диаметр рассеивающих частиц; AAC (</w:t>
      </w:r>
      <w:r w:rsidRPr="001B2200">
        <w:rPr>
          <w:color w:val="auto"/>
          <w:lang w:val="en-US"/>
        </w:rPr>
        <w:t>Average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Acoustic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Concentration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 xml:space="preserve">— средняя акустическая концентрация; </w:t>
      </w:r>
      <w:r w:rsidRPr="001B2200">
        <w:rPr>
          <w:color w:val="auto"/>
          <w:lang w:val="en-US"/>
        </w:rPr>
        <w:t>SR </w:t>
      </w:r>
      <w:r w:rsidRPr="001B2200">
        <w:rPr>
          <w:color w:val="auto"/>
        </w:rPr>
        <w:t>(</w:t>
      </w:r>
      <w:r w:rsidRPr="001B2200">
        <w:rPr>
          <w:color w:val="auto"/>
          <w:lang w:val="en-US"/>
        </w:rPr>
        <w:t>Strain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Ratio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 xml:space="preserve">— коэффициент деформации. </w:t>
      </w:r>
    </w:p>
    <w:p w14:paraId="1AF34300" w14:textId="77777777" w:rsidR="00952736" w:rsidRPr="001B2200" w:rsidRDefault="00952736"/>
    <w:sectPr w:rsidR="00952736" w:rsidRPr="001B2200" w:rsidSect="001B2200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24DC" w14:textId="77777777" w:rsidR="008770CF" w:rsidRDefault="008770CF" w:rsidP="001B2200">
      <w:pPr>
        <w:spacing w:line="240" w:lineRule="auto"/>
      </w:pPr>
      <w:r>
        <w:separator/>
      </w:r>
    </w:p>
  </w:endnote>
  <w:endnote w:type="continuationSeparator" w:id="0">
    <w:p w14:paraId="5E593656" w14:textId="77777777" w:rsidR="008770CF" w:rsidRDefault="008770CF" w:rsidP="001B2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E6A6" w14:textId="77777777" w:rsidR="008770CF" w:rsidRDefault="008770CF" w:rsidP="001B2200">
      <w:pPr>
        <w:spacing w:line="240" w:lineRule="auto"/>
      </w:pPr>
      <w:r>
        <w:separator/>
      </w:r>
    </w:p>
  </w:footnote>
  <w:footnote w:type="continuationSeparator" w:id="0">
    <w:p w14:paraId="6B92704F" w14:textId="77777777" w:rsidR="008770CF" w:rsidRDefault="008770CF" w:rsidP="001B2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A67" w14:textId="4841E84F" w:rsidR="001B2200" w:rsidRPr="00BD4797" w:rsidRDefault="001B2200" w:rsidP="001B2200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9146213" w14:textId="77777777" w:rsidR="001B2200" w:rsidRPr="0044593A" w:rsidRDefault="001B2200" w:rsidP="001B2200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44593A">
      <w:rPr>
        <w:b/>
        <w:bCs/>
      </w:rPr>
      <w:t xml:space="preserve"> </w:t>
    </w:r>
    <w:r>
      <w:rPr>
        <w:b/>
        <w:bCs/>
      </w:rPr>
      <w:t>обзоры</w:t>
    </w:r>
    <w:r w:rsidRPr="0044593A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6E0321BB" w14:textId="3EB7932E" w:rsidR="001B2200" w:rsidRPr="00CC7745" w:rsidRDefault="001B2200" w:rsidP="0044593A">
    <w:pPr>
      <w:pBdr>
        <w:bottom w:val="single" w:sz="12" w:space="1" w:color="auto"/>
      </w:pBdr>
      <w:jc w:val="center"/>
    </w:pPr>
    <w:r w:rsidRPr="0044593A">
      <w:t>DOI: </w:t>
    </w:r>
    <w:hyperlink r:id="rId1" w:history="1">
      <w:r w:rsidR="00CC7745" w:rsidRPr="00DE100D">
        <w:rPr>
          <w:rStyle w:val="af2"/>
          <w:lang w:val="en-US"/>
        </w:rPr>
        <w:t>https</w:t>
      </w:r>
      <w:r w:rsidR="00CC7745" w:rsidRPr="00DE100D">
        <w:rPr>
          <w:rStyle w:val="af2"/>
        </w:rPr>
        <w:t>://</w:t>
      </w:r>
      <w:proofErr w:type="spellStart"/>
      <w:r w:rsidR="00CC7745" w:rsidRPr="00DE100D">
        <w:rPr>
          <w:rStyle w:val="af2"/>
          <w:lang w:val="en-US"/>
        </w:rPr>
        <w:t>doi</w:t>
      </w:r>
      <w:proofErr w:type="spellEnd"/>
      <w:r w:rsidR="00CC7745" w:rsidRPr="00DE100D">
        <w:rPr>
          <w:rStyle w:val="af2"/>
        </w:rPr>
        <w:t>.</w:t>
      </w:r>
      <w:r w:rsidR="00CC7745" w:rsidRPr="00DE100D">
        <w:rPr>
          <w:rStyle w:val="af2"/>
          <w:lang w:val="en-US"/>
        </w:rPr>
        <w:t>org</w:t>
      </w:r>
      <w:r w:rsidR="00CC7745" w:rsidRPr="00DE100D">
        <w:rPr>
          <w:rStyle w:val="af2"/>
        </w:rPr>
        <w:t>/10.17816/DD634972-4348470</w:t>
      </w:r>
    </w:hyperlink>
    <w:r w:rsidR="00CC7745" w:rsidRPr="00CC774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6CF"/>
    <w:multiLevelType w:val="hybridMultilevel"/>
    <w:tmpl w:val="02E67410"/>
    <w:lvl w:ilvl="0" w:tplc="FCBE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0"/>
    <w:multiLevelType w:val="hybridMultilevel"/>
    <w:tmpl w:val="8C5AE1B8"/>
    <w:lvl w:ilvl="0" w:tplc="FC8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0EC"/>
    <w:multiLevelType w:val="hybridMultilevel"/>
    <w:tmpl w:val="2BFAA280"/>
    <w:lvl w:ilvl="0" w:tplc="748CB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E74"/>
    <w:multiLevelType w:val="hybridMultilevel"/>
    <w:tmpl w:val="D71AB636"/>
    <w:lvl w:ilvl="0" w:tplc="E4E6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830"/>
    <w:multiLevelType w:val="hybridMultilevel"/>
    <w:tmpl w:val="A9BABF28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B0F30"/>
    <w:multiLevelType w:val="hybridMultilevel"/>
    <w:tmpl w:val="6F5C91D4"/>
    <w:lvl w:ilvl="0" w:tplc="E71A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33E64"/>
    <w:multiLevelType w:val="hybridMultilevel"/>
    <w:tmpl w:val="F716B0A8"/>
    <w:lvl w:ilvl="0" w:tplc="AE94D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5FA6"/>
    <w:multiLevelType w:val="hybridMultilevel"/>
    <w:tmpl w:val="E462FF04"/>
    <w:lvl w:ilvl="0" w:tplc="E212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E2081"/>
    <w:multiLevelType w:val="hybridMultilevel"/>
    <w:tmpl w:val="A46A130A"/>
    <w:lvl w:ilvl="0" w:tplc="31E6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B39DA"/>
    <w:multiLevelType w:val="hybridMultilevel"/>
    <w:tmpl w:val="4260C76E"/>
    <w:lvl w:ilvl="0" w:tplc="614E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273F0"/>
    <w:multiLevelType w:val="hybridMultilevel"/>
    <w:tmpl w:val="6F08E602"/>
    <w:lvl w:ilvl="0" w:tplc="90C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34D8"/>
    <w:multiLevelType w:val="hybridMultilevel"/>
    <w:tmpl w:val="E152BAC4"/>
    <w:lvl w:ilvl="0" w:tplc="6342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56C2F"/>
    <w:multiLevelType w:val="hybridMultilevel"/>
    <w:tmpl w:val="9EFE04BA"/>
    <w:lvl w:ilvl="0" w:tplc="A0F0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7749C"/>
    <w:multiLevelType w:val="hybridMultilevel"/>
    <w:tmpl w:val="72E6549E"/>
    <w:lvl w:ilvl="0" w:tplc="966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39808">
    <w:abstractNumId w:val="8"/>
  </w:num>
  <w:num w:numId="2" w16cid:durableId="947002696">
    <w:abstractNumId w:val="2"/>
  </w:num>
  <w:num w:numId="3" w16cid:durableId="108818588">
    <w:abstractNumId w:val="11"/>
  </w:num>
  <w:num w:numId="4" w16cid:durableId="1852985197">
    <w:abstractNumId w:val="6"/>
  </w:num>
  <w:num w:numId="5" w16cid:durableId="1509446970">
    <w:abstractNumId w:val="5"/>
  </w:num>
  <w:num w:numId="6" w16cid:durableId="1807626911">
    <w:abstractNumId w:val="3"/>
  </w:num>
  <w:num w:numId="7" w16cid:durableId="113912990">
    <w:abstractNumId w:val="7"/>
  </w:num>
  <w:num w:numId="8" w16cid:durableId="379868352">
    <w:abstractNumId w:val="0"/>
  </w:num>
  <w:num w:numId="9" w16cid:durableId="689988336">
    <w:abstractNumId w:val="13"/>
  </w:num>
  <w:num w:numId="10" w16cid:durableId="800074711">
    <w:abstractNumId w:val="1"/>
  </w:num>
  <w:num w:numId="11" w16cid:durableId="1674717765">
    <w:abstractNumId w:val="9"/>
  </w:num>
  <w:num w:numId="12" w16cid:durableId="2103989719">
    <w:abstractNumId w:val="12"/>
  </w:num>
  <w:num w:numId="13" w16cid:durableId="1499271744">
    <w:abstractNumId w:val="10"/>
  </w:num>
  <w:num w:numId="14" w16cid:durableId="36406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0"/>
    <w:rsid w:val="00073613"/>
    <w:rsid w:val="000A5C75"/>
    <w:rsid w:val="001B2200"/>
    <w:rsid w:val="00444397"/>
    <w:rsid w:val="0044593A"/>
    <w:rsid w:val="004E08FB"/>
    <w:rsid w:val="00567C73"/>
    <w:rsid w:val="00660D1C"/>
    <w:rsid w:val="008770CF"/>
    <w:rsid w:val="00952736"/>
    <w:rsid w:val="00CB1862"/>
    <w:rsid w:val="00CC7745"/>
    <w:rsid w:val="00D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4986"/>
  <w15:chartTrackingRefBased/>
  <w15:docId w15:val="{DE04AB35-C650-4F43-9C17-6442553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200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1B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2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2200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20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200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B2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200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1B22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220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1B2200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1B2200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44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3</cp:revision>
  <dcterms:created xsi:type="dcterms:W3CDTF">2025-06-23T15:24:00Z</dcterms:created>
  <dcterms:modified xsi:type="dcterms:W3CDTF">2025-06-23T15:27:00Z</dcterms:modified>
</cp:coreProperties>
</file>