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1AF4" w14:textId="77777777" w:rsidR="000172E5" w:rsidRPr="000172E5" w:rsidRDefault="000172E5" w:rsidP="000172E5">
      <w:pPr>
        <w:pStyle w:val="TableName"/>
        <w:rPr>
          <w:b w:val="0"/>
          <w:bCs/>
          <w:color w:val="auto"/>
        </w:rPr>
      </w:pPr>
      <w:r w:rsidRPr="000172E5">
        <w:rPr>
          <w:bCs/>
          <w:color w:val="auto"/>
        </w:rPr>
        <w:t xml:space="preserve">Приложение 3. </w:t>
      </w:r>
      <w:r w:rsidRPr="000172E5">
        <w:rPr>
          <w:b w:val="0"/>
          <w:color w:val="auto"/>
        </w:rPr>
        <w:t>При</w:t>
      </w:r>
      <w:r w:rsidRPr="000172E5">
        <w:rPr>
          <w:b w:val="0"/>
          <w:bCs/>
          <w:color w:val="auto"/>
        </w:rPr>
        <w:t xml:space="preserve">менение магнитно-резонансной томографии с динамическим контрастным усилением для оценки ответа на </w:t>
      </w:r>
      <w:proofErr w:type="spellStart"/>
      <w:r w:rsidRPr="000172E5">
        <w:rPr>
          <w:b w:val="0"/>
          <w:bCs/>
          <w:color w:val="auto"/>
        </w:rPr>
        <w:t>неоадъювантную</w:t>
      </w:r>
      <w:proofErr w:type="spellEnd"/>
      <w:r w:rsidRPr="000172E5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52A3BC1C" w14:textId="77777777" w:rsidR="000172E5" w:rsidRPr="000172E5" w:rsidRDefault="000172E5" w:rsidP="000172E5">
      <w:pPr>
        <w:pStyle w:val="TableName"/>
        <w:rPr>
          <w:color w:val="auto"/>
          <w:lang w:val="en-US"/>
        </w:rPr>
      </w:pPr>
      <w:r w:rsidRPr="000172E5">
        <w:rPr>
          <w:bCs/>
          <w:color w:val="auto"/>
          <w:lang w:val="en-US"/>
        </w:rPr>
        <w:t>Appendix 3.</w:t>
      </w:r>
      <w:r w:rsidRPr="000172E5">
        <w:rPr>
          <w:color w:val="auto"/>
          <w:lang w:val="en-US"/>
        </w:rPr>
        <w:t xml:space="preserve"> </w:t>
      </w:r>
      <w:r w:rsidRPr="000172E5">
        <w:rPr>
          <w:b w:val="0"/>
          <w:bCs/>
          <w:color w:val="auto"/>
          <w:lang w:val="en-US"/>
        </w:rPr>
        <w:t>Application of magnetic resonance imaging with dynamic contrast enhancement for evaluating the response to neoadjuvant chemotherapy in breast cancer</w:t>
      </w:r>
      <w:r w:rsidRPr="000172E5">
        <w:rPr>
          <w:bCs/>
          <w:color w:val="auto"/>
          <w:lang w:val="en-US"/>
        </w:rPr>
        <w:t xml:space="preserve"> </w:t>
      </w:r>
      <w:r w:rsidRPr="000172E5">
        <w:rPr>
          <w:b w:val="0"/>
          <w:color w:val="auto"/>
          <w:lang w:val="en-US"/>
        </w:rPr>
        <w:t>patients</w:t>
      </w:r>
    </w:p>
    <w:tbl>
      <w:tblPr>
        <w:tblStyle w:val="ac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559"/>
        <w:gridCol w:w="1418"/>
        <w:gridCol w:w="3260"/>
        <w:gridCol w:w="5245"/>
      </w:tblGrid>
      <w:tr w:rsidR="000172E5" w:rsidRPr="000172E5" w14:paraId="3D893D85" w14:textId="77777777" w:rsidTr="00A4438C">
        <w:trPr>
          <w:tblHeader/>
        </w:trPr>
        <w:tc>
          <w:tcPr>
            <w:tcW w:w="1135" w:type="dxa"/>
          </w:tcPr>
          <w:p w14:paraId="6E746439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2268" w:type="dxa"/>
          </w:tcPr>
          <w:p w14:paraId="0235C7B0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1559" w:type="dxa"/>
          </w:tcPr>
          <w:p w14:paraId="643A4A7B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418" w:type="dxa"/>
          </w:tcPr>
          <w:p w14:paraId="2B483C96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3260" w:type="dxa"/>
          </w:tcPr>
          <w:p w14:paraId="0D490031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0172E5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5245" w:type="dxa"/>
          </w:tcPr>
          <w:p w14:paraId="44990608" w14:textId="77777777" w:rsidR="000172E5" w:rsidRPr="000172E5" w:rsidRDefault="000172E5" w:rsidP="00A4438C">
            <w:pPr>
              <w:pStyle w:val="TableCenter"/>
              <w:rPr>
                <w:b/>
                <w:bCs/>
                <w:i/>
                <w:iCs/>
                <w:color w:val="auto"/>
              </w:rPr>
            </w:pPr>
            <w:r w:rsidRPr="000172E5">
              <w:rPr>
                <w:rStyle w:val="ad"/>
                <w:b/>
                <w:bCs/>
                <w:color w:val="auto"/>
              </w:rPr>
              <w:t>Результаты</w:t>
            </w:r>
          </w:p>
        </w:tc>
      </w:tr>
      <w:tr w:rsidR="000172E5" w:rsidRPr="000172E5" w14:paraId="2167B891" w14:textId="77777777" w:rsidTr="00A4438C">
        <w:tc>
          <w:tcPr>
            <w:tcW w:w="1135" w:type="dxa"/>
          </w:tcPr>
          <w:p w14:paraId="5509DE4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J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E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Jimenez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[49]</w:t>
            </w:r>
          </w:p>
        </w:tc>
        <w:tc>
          <w:tcPr>
            <w:tcW w:w="2268" w:type="dxa"/>
          </w:tcPr>
          <w:p w14:paraId="76A0FDCA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оценить прогностическую ценность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МРТ с динамическим контрастным усилением, и содержанием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TIL</w:t>
            </w:r>
            <w:r w:rsidRPr="000172E5">
              <w:rPr>
                <w:color w:val="auto"/>
                <w:sz w:val="16"/>
                <w:szCs w:val="16"/>
              </w:rPr>
              <w:t xml:space="preserve"> в отношении предсказания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у пациенток с тройным негативным РМЖ, прошедших НАХТ</w:t>
            </w:r>
          </w:p>
        </w:tc>
        <w:tc>
          <w:tcPr>
            <w:tcW w:w="1559" w:type="dxa"/>
          </w:tcPr>
          <w:p w14:paraId="193530D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80 пациенток с тройным негативным РМЖ, с применением 5-кратной перекрёстной валидации для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комбинированной модели</w:t>
            </w:r>
          </w:p>
        </w:tc>
        <w:tc>
          <w:tcPr>
            <w:tcW w:w="1418" w:type="dxa"/>
          </w:tcPr>
          <w:p w14:paraId="289F3E5C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0028273E" w14:textId="77777777" w:rsidR="000172E5" w:rsidRPr="000172E5" w:rsidRDefault="000172E5" w:rsidP="000172E5">
            <w:pPr>
              <w:pStyle w:val="TableLeft"/>
              <w:numPr>
                <w:ilvl w:val="0"/>
                <w:numId w:val="15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содержание TIL;</w:t>
            </w:r>
          </w:p>
          <w:p w14:paraId="1F762481" w14:textId="77777777" w:rsidR="000172E5" w:rsidRPr="000172E5" w:rsidRDefault="000172E5" w:rsidP="000172E5">
            <w:pPr>
              <w:pStyle w:val="TableLeft"/>
              <w:numPr>
                <w:ilvl w:val="0"/>
                <w:numId w:val="15"/>
              </w:numPr>
              <w:ind w:left="180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объём, однородность, дисперсия пикового времени и вариация</w:t>
            </w:r>
          </w:p>
        </w:tc>
        <w:tc>
          <w:tcPr>
            <w:tcW w:w="5245" w:type="dxa"/>
          </w:tcPr>
          <w:p w14:paraId="12633E70" w14:textId="77777777" w:rsidR="000172E5" w:rsidRPr="000172E5" w:rsidRDefault="000172E5" w:rsidP="000172E5">
            <w:pPr>
              <w:pStyle w:val="TableLeft"/>
              <w:numPr>
                <w:ilvl w:val="0"/>
                <w:numId w:val="17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молекулярная модель: AUC=0,63, точность, чувствительность и специфичность — 0,70, 0,57 и 0,79 соответственно; положительное и отрицательное прогностическое значение — 0,66 и 0,73 соответственно;</w:t>
            </w:r>
          </w:p>
          <w:p w14:paraId="045EFAD3" w14:textId="77777777" w:rsidR="000172E5" w:rsidRPr="000172E5" w:rsidRDefault="000172E5" w:rsidP="000172E5">
            <w:pPr>
              <w:pStyle w:val="TableLeft"/>
              <w:numPr>
                <w:ilvl w:val="0"/>
                <w:numId w:val="18"/>
              </w:numPr>
              <w:ind w:left="178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модель: AUC=0,71, точность, чувствительность и специфичность — 0,73, 0,85 и 0,55 соответственно; положительное и отрицательное прогностическое значение — 0,73 и 0,72 соответственно; </w:t>
            </w:r>
          </w:p>
          <w:p w14:paraId="4AC9239A" w14:textId="77777777" w:rsidR="000172E5" w:rsidRPr="000172E5" w:rsidRDefault="000172E5" w:rsidP="000172E5">
            <w:pPr>
              <w:pStyle w:val="TableLeft"/>
              <w:numPr>
                <w:ilvl w:val="0"/>
                <w:numId w:val="18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модель: AUC=0,75, точность, чувствительность и специфичность — 0,83, 0,56 и 0,97 соответственно; положительное и отрицательное прогностическое значение — 0,91 и 0,81 соответственно</w:t>
            </w:r>
          </w:p>
        </w:tc>
      </w:tr>
      <w:tr w:rsidR="000172E5" w:rsidRPr="000172E5" w14:paraId="582B3780" w14:textId="77777777" w:rsidTr="00A4438C">
        <w:tc>
          <w:tcPr>
            <w:tcW w:w="1135" w:type="dxa"/>
          </w:tcPr>
          <w:p w14:paraId="2320628D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N.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Jahani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[50]</w:t>
            </w:r>
          </w:p>
        </w:tc>
        <w:tc>
          <w:tcPr>
            <w:tcW w:w="2268" w:type="dxa"/>
          </w:tcPr>
          <w:p w14:paraId="2C7186D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оценить изменения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внутриопухолевой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гетерогенности, измеряемой с помощью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деформации опухоли, для раннего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безрецидивной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выживаемости у пациентов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559" w:type="dxa"/>
          </w:tcPr>
          <w:p w14:paraId="1A4E310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132 пациента с локально распространённым РМЖ из испытания I-SPY 1 (проведена 5-кратная перекрёстная валидация)</w:t>
            </w:r>
          </w:p>
        </w:tc>
        <w:tc>
          <w:tcPr>
            <w:tcW w:w="1418" w:type="dxa"/>
          </w:tcPr>
          <w:p w14:paraId="44BCCF36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многоцентровое ретроспективное </w:t>
            </w:r>
          </w:p>
        </w:tc>
        <w:tc>
          <w:tcPr>
            <w:tcW w:w="3260" w:type="dxa"/>
          </w:tcPr>
          <w:p w14:paraId="1A661E64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 и раса;</w:t>
            </w:r>
          </w:p>
          <w:p w14:paraId="5AA898A6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статус гормональных рецепторов;</w:t>
            </w:r>
          </w:p>
          <w:p w14:paraId="10F50C99" w14:textId="77777777" w:rsidR="000172E5" w:rsidRPr="000172E5" w:rsidRDefault="000172E5" w:rsidP="000172E5">
            <w:pPr>
              <w:pStyle w:val="TableLeft"/>
              <w:numPr>
                <w:ilvl w:val="0"/>
                <w:numId w:val="16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функциональный объём опухоли до и после лечения (FTV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 xml:space="preserve">1 </w:t>
            </w:r>
            <w:r w:rsidRPr="000172E5">
              <w:rPr>
                <w:color w:val="auto"/>
                <w:sz w:val="16"/>
                <w:szCs w:val="16"/>
              </w:rPr>
              <w:t xml:space="preserve">и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2</w:t>
            </w:r>
            <w:r w:rsidRPr="000172E5">
              <w:rPr>
                <w:color w:val="auto"/>
                <w:sz w:val="16"/>
                <w:szCs w:val="16"/>
              </w:rPr>
              <w:t xml:space="preserve"> соответственно),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измерения деформации опухоли (Якобиан, ADI, SRI),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изменения параметрических карт ответа кинетических характеристик (PE, WIS, WOS, SER)</w:t>
            </w:r>
          </w:p>
        </w:tc>
        <w:tc>
          <w:tcPr>
            <w:tcW w:w="5245" w:type="dxa"/>
          </w:tcPr>
          <w:p w14:paraId="23F0F977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демографических и молекулярных признаков, а также значения FTV: AUC=0,71;</w:t>
            </w:r>
          </w:p>
          <w:p w14:paraId="6E9F0054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демографических и молекулярных признаков,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характеристик: AUC=0,78;</w:t>
            </w:r>
          </w:p>
          <w:p w14:paraId="64DC75E6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характеристик: AUC=0,74;</w:t>
            </w:r>
          </w:p>
          <w:p w14:paraId="78A3DB3B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сводных показателей (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PE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WIS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WOS</w:t>
            </w:r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SER</w:t>
            </w:r>
            <w:r w:rsidRPr="000172E5">
              <w:rPr>
                <w:color w:val="auto"/>
                <w:sz w:val="16"/>
                <w:szCs w:val="16"/>
              </w:rPr>
              <w:t>, 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2</w:t>
            </w:r>
            <w:r w:rsidRPr="000172E5">
              <w:rPr>
                <w:color w:val="auto"/>
                <w:sz w:val="16"/>
                <w:szCs w:val="16"/>
              </w:rPr>
              <w:t>/FTV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1</w:t>
            </w:r>
            <w:r w:rsidRPr="000172E5">
              <w:rPr>
                <w:color w:val="auto"/>
                <w:sz w:val="16"/>
                <w:szCs w:val="16"/>
              </w:rPr>
              <w:t>): AUC=0,71;</w:t>
            </w:r>
          </w:p>
          <w:p w14:paraId="411E6F1A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статус гормонального рецептора показал значительную связь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; </w:t>
            </w:r>
          </w:p>
          <w:p w14:paraId="47991E46" w14:textId="77777777" w:rsidR="000172E5" w:rsidRPr="000172E5" w:rsidRDefault="000172E5" w:rsidP="000172E5">
            <w:pPr>
              <w:pStyle w:val="TableLeft"/>
              <w:numPr>
                <w:ilvl w:val="0"/>
                <w:numId w:val="19"/>
              </w:numPr>
              <w:ind w:left="178" w:hanging="141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воксельные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характеристики имеют прогностическую ценность в отношении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292ACD67" w14:textId="77777777" w:rsidTr="00A4438C">
        <w:tc>
          <w:tcPr>
            <w:tcW w:w="1135" w:type="dxa"/>
          </w:tcPr>
          <w:p w14:paraId="0CFCFBB3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E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J</w:t>
            </w:r>
            <w:r w:rsidRPr="000172E5">
              <w:rPr>
                <w:color w:val="auto"/>
                <w:sz w:val="16"/>
                <w:szCs w:val="16"/>
              </w:rPr>
              <w:t>.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Sutton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[51]</w:t>
            </w:r>
          </w:p>
        </w:tc>
        <w:tc>
          <w:tcPr>
            <w:tcW w:w="2268" w:type="dxa"/>
          </w:tcPr>
          <w:p w14:paraId="6050BF7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разработать модель для оценки и классификации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основе данных о молекулярном подтипе опухоли и характеристик, извлечённых из изображений МРТ до и после НАХТ</w:t>
            </w:r>
          </w:p>
        </w:tc>
        <w:tc>
          <w:tcPr>
            <w:tcW w:w="1559" w:type="dxa"/>
          </w:tcPr>
          <w:p w14:paraId="14CE3656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273 пациентки;</w:t>
            </w:r>
          </w:p>
          <w:p w14:paraId="46074F9E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278 случаев рака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 двусторонних):</w:t>
            </w:r>
          </w:p>
          <w:p w14:paraId="21863A17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=222;</w:t>
            </w:r>
          </w:p>
          <w:p w14:paraId="356F4817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тестовая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=56</w:t>
            </w:r>
          </w:p>
        </w:tc>
        <w:tc>
          <w:tcPr>
            <w:tcW w:w="1418" w:type="dxa"/>
          </w:tcPr>
          <w:p w14:paraId="092D7BFE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30FA6663" w14:textId="77777777" w:rsidR="000172E5" w:rsidRPr="000172E5" w:rsidRDefault="000172E5" w:rsidP="000172E5">
            <w:pPr>
              <w:pStyle w:val="TableLeft"/>
              <w:numPr>
                <w:ilvl w:val="0"/>
                <w:numId w:val="34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опухоли;</w:t>
            </w:r>
          </w:p>
          <w:p w14:paraId="1136B6C4" w14:textId="77777777" w:rsidR="000172E5" w:rsidRPr="000172E5" w:rsidRDefault="000172E5" w:rsidP="000172E5">
            <w:pPr>
              <w:pStyle w:val="TableLeft"/>
              <w:numPr>
                <w:ilvl w:val="0"/>
                <w:numId w:val="34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гистограмма первого порядка, текстура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Харалика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второго порядка, характеристики из краевых карт Габора, меры текстуры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Харалика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рассчитанные на основе краевых карт Габора и мера энтропии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внутриопухолевого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кластера</w:t>
            </w:r>
          </w:p>
        </w:tc>
        <w:tc>
          <w:tcPr>
            <w:tcW w:w="5245" w:type="dxa"/>
          </w:tcPr>
          <w:p w14:paraId="7B0E25A9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AUC=0,83, чувствительность и специфичность — 0,77 и 0,69 соответственно;</w:t>
            </w:r>
          </w:p>
          <w:p w14:paraId="68C7C7E4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молекулярных признаков: AUC=0,78, чувствительность и специфичность — 0,79 и 0,69 соответственно;</w:t>
            </w:r>
          </w:p>
          <w:p w14:paraId="534C6DA3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но без метрик интенсивности): AUC=0,78, чувствительность и специфичность — 0,79 и 0,69 соответственно;</w:t>
            </w:r>
          </w:p>
          <w:p w14:paraId="3616F110" w14:textId="77777777" w:rsidR="000172E5" w:rsidRPr="000172E5" w:rsidRDefault="000172E5" w:rsidP="000172E5">
            <w:pPr>
              <w:pStyle w:val="TableLeft"/>
              <w:numPr>
                <w:ilvl w:val="0"/>
                <w:numId w:val="35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признаки, извлечённые до и после НАХТ, могут помочь в оценке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324BEF28" w14:textId="77777777" w:rsidTr="00A4438C">
        <w:tc>
          <w:tcPr>
            <w:tcW w:w="1135" w:type="dxa"/>
          </w:tcPr>
          <w:p w14:paraId="6A16B30B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M.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Fan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[52]</w:t>
            </w:r>
          </w:p>
        </w:tc>
        <w:tc>
          <w:tcPr>
            <w:tcW w:w="2268" w:type="dxa"/>
          </w:tcPr>
          <w:p w14:paraId="03DFA9E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изучить изменения гетерогенности опухоли на изображениях МРТ до начала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лечения и после второго цикла НАХТ, оценить их влияние на точность прогноза</w:t>
            </w:r>
          </w:p>
        </w:tc>
        <w:tc>
          <w:tcPr>
            <w:tcW w:w="1559" w:type="dxa"/>
          </w:tcPr>
          <w:p w14:paraId="3685D4E4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114 пациенток:</w:t>
            </w:r>
          </w:p>
          <w:p w14:paraId="4744FDBA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=61;</w:t>
            </w:r>
          </w:p>
          <w:p w14:paraId="3CC6ACAD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тестовая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=53</w:t>
            </w:r>
          </w:p>
        </w:tc>
        <w:tc>
          <w:tcPr>
            <w:tcW w:w="1418" w:type="dxa"/>
          </w:tcPr>
          <w:p w14:paraId="2CDB361A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ретроспективное </w:t>
            </w:r>
          </w:p>
        </w:tc>
        <w:tc>
          <w:tcPr>
            <w:tcW w:w="3260" w:type="dxa"/>
          </w:tcPr>
          <w:p w14:paraId="70B74155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опухоли;</w:t>
            </w:r>
          </w:p>
          <w:p w14:paraId="41525B6E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форма,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характеристики первого порядка, характеристики GLCM, GLRLM, GLSZM и GLDM; </w:t>
            </w:r>
          </w:p>
          <w:p w14:paraId="0F8A670D" w14:textId="77777777" w:rsidR="000172E5" w:rsidRPr="000172E5" w:rsidRDefault="000172E5" w:rsidP="000172E5">
            <w:pPr>
              <w:pStyle w:val="TableLeft"/>
              <w:numPr>
                <w:ilvl w:val="0"/>
                <w:numId w:val="32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∆RAD — различия между изображениями до и после раннего этапа НАХТ</w:t>
            </w:r>
          </w:p>
        </w:tc>
        <w:tc>
          <w:tcPr>
            <w:tcW w:w="5245" w:type="dxa"/>
          </w:tcPr>
          <w:p w14:paraId="4BA01A44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 (до НАХТ): AUC=0,57;</w:t>
            </w:r>
          </w:p>
          <w:p w14:paraId="581C738D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 (ранний этап НАХТ): AUC=0,77;</w:t>
            </w:r>
          </w:p>
          <w:p w14:paraId="5689C1B0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(карты Якобиана): AUC=0,63;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7DD85221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∆RAD: AUC=0,73;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6ED3A9FB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комбинации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AUC=0,77;</w:t>
            </w:r>
            <w:r w:rsidRPr="000172E5" w:rsidDel="001B1912">
              <w:rPr>
                <w:color w:val="auto"/>
                <w:sz w:val="16"/>
                <w:szCs w:val="16"/>
              </w:rPr>
              <w:t xml:space="preserve"> </w:t>
            </w:r>
          </w:p>
          <w:p w14:paraId="492CF4E6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молекулярных признаков: AUC=0,81;</w:t>
            </w:r>
          </w:p>
          <w:p w14:paraId="5CBBF8FD" w14:textId="77777777" w:rsidR="000172E5" w:rsidRPr="000172E5" w:rsidRDefault="000172E5" w:rsidP="000172E5">
            <w:pPr>
              <w:pStyle w:val="TableLeft"/>
              <w:numPr>
                <w:ilvl w:val="0"/>
                <w:numId w:val="33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выраженное снижение гетерогенности опухоли отмечают у пациенток с ответом на НАХТ</w:t>
            </w:r>
          </w:p>
        </w:tc>
      </w:tr>
      <w:tr w:rsidR="000172E5" w:rsidRPr="000172E5" w14:paraId="5B5789BE" w14:textId="77777777" w:rsidTr="00A4438C">
        <w:tc>
          <w:tcPr>
            <w:tcW w:w="1135" w:type="dxa"/>
          </w:tcPr>
          <w:p w14:paraId="2622A4EE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lastRenderedPageBreak/>
              <w:t>L.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Hussain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[53]</w:t>
            </w:r>
          </w:p>
        </w:tc>
        <w:tc>
          <w:tcPr>
            <w:tcW w:w="2268" w:type="dxa"/>
          </w:tcPr>
          <w:p w14:paraId="1A1DF84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создание моделей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основе молекулярного подтипа и текстурных характеристик, извлечённых из изображений МРТ опухоли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области на разных этапах лечения</w:t>
            </w:r>
          </w:p>
        </w:tc>
        <w:tc>
          <w:tcPr>
            <w:tcW w:w="1559" w:type="dxa"/>
          </w:tcPr>
          <w:p w14:paraId="0ACBAAD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166 пациенток из исследования I-SPY 1</w:t>
            </w:r>
          </w:p>
        </w:tc>
        <w:tc>
          <w:tcPr>
            <w:tcW w:w="1418" w:type="dxa"/>
          </w:tcPr>
          <w:p w14:paraId="4266DB05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многоцентровое ретроспективное </w:t>
            </w:r>
          </w:p>
        </w:tc>
        <w:tc>
          <w:tcPr>
            <w:tcW w:w="3260" w:type="dxa"/>
          </w:tcPr>
          <w:p w14:paraId="7EED1685" w14:textId="77777777" w:rsidR="000172E5" w:rsidRPr="000172E5" w:rsidRDefault="000172E5" w:rsidP="000172E5">
            <w:pPr>
              <w:pStyle w:val="TableLeft"/>
              <w:numPr>
                <w:ilvl w:val="0"/>
                <w:numId w:val="30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молекулярный подтип и индекс Ki-67;</w:t>
            </w:r>
          </w:p>
          <w:p w14:paraId="6885E5FF" w14:textId="77777777" w:rsidR="000172E5" w:rsidRPr="000172E5" w:rsidRDefault="000172E5" w:rsidP="000172E5">
            <w:pPr>
              <w:pStyle w:val="TableLeft"/>
              <w:numPr>
                <w:ilvl w:val="0"/>
                <w:numId w:val="30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текстурные характеристики второго порядка, извлечённые из GLCM изображений, полученных до, на раннем этапе и в середине лечения; характеристики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периопухолевой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области, полученные при 3-, 5- и 7-пиксельной морфологической дилатации</w:t>
            </w:r>
          </w:p>
        </w:tc>
        <w:tc>
          <w:tcPr>
            <w:tcW w:w="5245" w:type="dxa"/>
          </w:tcPr>
          <w:p w14:paraId="73D5673D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молекулярных признаков: AUC=0,82, точность, чувствительность и специфичность — 0,84, 0,86 и 0,77 соответственно;</w:t>
            </w:r>
          </w:p>
          <w:p w14:paraId="5CE675CF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до лечения: AUC=0,88, точность, чувствительность и специфичность — 0,86, 0,86 и 0,85 соответственно;</w:t>
            </w:r>
          </w:p>
          <w:p w14:paraId="104280B6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на раннем этапе: AUC=0,72, точность, чувствительность и специфичность — 0,82, 0,97 и 0,38 соответственно;</w:t>
            </w:r>
          </w:p>
          <w:p w14:paraId="625078EB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на середине лечения: AUC=0,78, точность, чувствительность и специфичность — 0,76, 0,93 и 0,30 соответственно;</w:t>
            </w:r>
          </w:p>
          <w:p w14:paraId="443BAF0E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 до лечения и на раннем этапе +молекулярные признаки): AUC=0,98, точность, чувствительность и специфичность — 0,94, 0,95 и 0,92 соответственно;</w:t>
            </w:r>
          </w:p>
          <w:p w14:paraId="40B78434" w14:textId="77777777" w:rsidR="000172E5" w:rsidRPr="000172E5" w:rsidRDefault="000172E5" w:rsidP="000172E5">
            <w:pPr>
              <w:pStyle w:val="TableLeft"/>
              <w:numPr>
                <w:ilvl w:val="0"/>
                <w:numId w:val="31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 до лечения и на раннем этапе +молекулярные признаки) продемонстрировала наилучшую прогностическую ценность</w:t>
            </w:r>
          </w:p>
        </w:tc>
      </w:tr>
      <w:tr w:rsidR="000172E5" w:rsidRPr="000172E5" w14:paraId="6AC7B792" w14:textId="77777777" w:rsidTr="00A4438C">
        <w:tc>
          <w:tcPr>
            <w:tcW w:w="1135" w:type="dxa"/>
          </w:tcPr>
          <w:p w14:paraId="484C297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N.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Cho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[54]</w:t>
            </w:r>
          </w:p>
        </w:tc>
        <w:tc>
          <w:tcPr>
            <w:tcW w:w="2268" w:type="dxa"/>
          </w:tcPr>
          <w:p w14:paraId="2CDFCC91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сравнить эффективность параметрической карты ответа на основе изображений МРТ и фармакокинетических параметров в контексте прогнозирования раннего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НАХТ</w:t>
            </w:r>
          </w:p>
        </w:tc>
        <w:tc>
          <w:tcPr>
            <w:tcW w:w="1559" w:type="dxa"/>
          </w:tcPr>
          <w:p w14:paraId="20B7A6B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48 пациенток</w:t>
            </w:r>
          </w:p>
        </w:tc>
        <w:tc>
          <w:tcPr>
            <w:tcW w:w="1418" w:type="dxa"/>
          </w:tcPr>
          <w:p w14:paraId="4082FA91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проспективное </w:t>
            </w:r>
          </w:p>
        </w:tc>
        <w:tc>
          <w:tcPr>
            <w:tcW w:w="3260" w:type="dxa"/>
          </w:tcPr>
          <w:p w14:paraId="7BD368D6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клинические признаки: клиническая стадия,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иммуногистохимический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режим и тип операции;</w:t>
            </w:r>
          </w:p>
          <w:p w14:paraId="7869C39D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0C825134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статус ER, PR, HER2 и индекс Ki-67;</w:t>
            </w:r>
          </w:p>
          <w:p w14:paraId="7E71F268" w14:textId="77777777" w:rsidR="000172E5" w:rsidRPr="000172E5" w:rsidRDefault="000172E5" w:rsidP="000172E5">
            <w:pPr>
              <w:pStyle w:val="TableLeft"/>
              <w:numPr>
                <w:ilvl w:val="0"/>
                <w:numId w:val="28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размер и объём опухоли, параметрическая карта ответа, фармакокинетические параметры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perscript"/>
              </w:rPr>
              <w:t>trans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ep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v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746D7AA9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прогностическая ценность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с увеличенной интенсивностью сигнала (PRM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SI+</w:t>
            </w:r>
            <w:r w:rsidRPr="000172E5">
              <w:rPr>
                <w:color w:val="auto"/>
                <w:sz w:val="16"/>
                <w:szCs w:val="16"/>
              </w:rPr>
              <w:t xml:space="preserve">) в прогнозировании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по сравнению с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: пороговое значение — 20,8%, AUC=0,77, чувствительность и специфичность — 1 и 0,71 соответственно; </w:t>
            </w:r>
          </w:p>
          <w:p w14:paraId="2707A167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анализ параметрических карт ответа эффективен в раннем прогнозировании ответа (после первого цикла) </w:t>
            </w:r>
          </w:p>
        </w:tc>
      </w:tr>
      <w:tr w:rsidR="000172E5" w:rsidRPr="000172E5" w14:paraId="3AF253FA" w14:textId="77777777" w:rsidTr="00A4438C">
        <w:tc>
          <w:tcPr>
            <w:tcW w:w="1135" w:type="dxa"/>
          </w:tcPr>
          <w:p w14:paraId="0ADA3D00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L.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Drisis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[55]</w:t>
            </w:r>
          </w:p>
        </w:tc>
        <w:tc>
          <w:tcPr>
            <w:tcW w:w="2268" w:type="dxa"/>
          </w:tcPr>
          <w:p w14:paraId="7162DE45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определить возможность использования параметрической карты ответа в прогнозировании раннего морфологического ответа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 течение 72 ч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после начала химиотерапии</w:t>
            </w:r>
          </w:p>
        </w:tc>
        <w:tc>
          <w:tcPr>
            <w:tcW w:w="1559" w:type="dxa"/>
          </w:tcPr>
          <w:p w14:paraId="78F602E3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39 пациенток</w:t>
            </w:r>
          </w:p>
        </w:tc>
        <w:tc>
          <w:tcPr>
            <w:tcW w:w="1418" w:type="dxa"/>
          </w:tcPr>
          <w:p w14:paraId="10D9A831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09161EAB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демографические признаки: возраст;</w:t>
            </w:r>
          </w:p>
          <w:p w14:paraId="30A348CF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гистопатологические признаки: статус лимфатических узлов, степень агрессивности опухоли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Grade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) и иммунохимический тип;</w:t>
            </w:r>
          </w:p>
          <w:p w14:paraId="032CFA01" w14:textId="77777777" w:rsidR="000172E5" w:rsidRPr="000172E5" w:rsidRDefault="000172E5" w:rsidP="000172E5">
            <w:pPr>
              <w:pStyle w:val="TableLeft"/>
              <w:numPr>
                <w:ilvl w:val="0"/>
                <w:numId w:val="27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размер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опухоли и параметрическая карта ответа</w:t>
            </w:r>
          </w:p>
        </w:tc>
        <w:tc>
          <w:tcPr>
            <w:tcW w:w="5245" w:type="dxa"/>
          </w:tcPr>
          <w:p w14:paraId="6F7FB2CE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модель логистического регрессионного анализа на основе демографических и гистопатологических признаков: AUC=0,71; </w:t>
            </w:r>
          </w:p>
          <w:p w14:paraId="10FB7CC1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параметрическая карта ответа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: AUC=0,88;</w:t>
            </w:r>
          </w:p>
          <w:p w14:paraId="1AEDC285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на основе демографических и гистопатологических признаков + данные параметрической карты ответа: AUC=0,94; </w:t>
            </w:r>
          </w:p>
          <w:p w14:paraId="2E4C29F4" w14:textId="77777777" w:rsidR="000172E5" w:rsidRPr="000172E5" w:rsidRDefault="000172E5" w:rsidP="000172E5">
            <w:pPr>
              <w:pStyle w:val="TableLeft"/>
              <w:numPr>
                <w:ilvl w:val="0"/>
                <w:numId w:val="29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опухоли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Grade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 2 (патологический маркёр)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вокселей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с увеличенной интенсивностью сигнала более 10% (нереагирующие регионы) — прогнозирование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non-pCR</w:t>
            </w:r>
            <w:proofErr w:type="spellEnd"/>
          </w:p>
        </w:tc>
      </w:tr>
      <w:tr w:rsidR="000172E5" w:rsidRPr="000172E5" w14:paraId="02FD45CC" w14:textId="77777777" w:rsidTr="00A4438C">
        <w:tc>
          <w:tcPr>
            <w:tcW w:w="1135" w:type="dxa"/>
          </w:tcPr>
          <w:p w14:paraId="7D8C6B9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lastRenderedPageBreak/>
              <w:t>M.C.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Comes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[56]</w:t>
            </w:r>
          </w:p>
        </w:tc>
        <w:tc>
          <w:tcPr>
            <w:tcW w:w="2268" w:type="dxa"/>
          </w:tcPr>
          <w:p w14:paraId="0F0894E4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создать модель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признаков, извлечённых из изображений МРТ до и в начале лечения, для прогнозирования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на НАХТ</w:t>
            </w:r>
          </w:p>
        </w:tc>
        <w:tc>
          <w:tcPr>
            <w:tcW w:w="1559" w:type="dxa"/>
          </w:tcPr>
          <w:p w14:paraId="5744AD3E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134 пациентки:</w:t>
            </w:r>
          </w:p>
          <w:p w14:paraId="00B70921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тонкая настройка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=108);</w:t>
            </w:r>
          </w:p>
          <w:p w14:paraId="08E5F62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тест (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=26)</w:t>
            </w:r>
          </w:p>
        </w:tc>
        <w:tc>
          <w:tcPr>
            <w:tcW w:w="1418" w:type="dxa"/>
          </w:tcPr>
          <w:p w14:paraId="792114BA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работа с сетом общедоступного набора данных (исследование I-SPY 1)</w:t>
            </w:r>
          </w:p>
        </w:tc>
        <w:tc>
          <w:tcPr>
            <w:tcW w:w="3260" w:type="dxa"/>
          </w:tcPr>
          <w:p w14:paraId="052511C2" w14:textId="77777777" w:rsidR="000172E5" w:rsidRPr="000172E5" w:rsidRDefault="000172E5" w:rsidP="000172E5">
            <w:pPr>
              <w:pStyle w:val="TableLeft"/>
              <w:numPr>
                <w:ilvl w:val="0"/>
                <w:numId w:val="25"/>
              </w:numPr>
              <w:ind w:left="180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ER, PR, HER2 статус и молекулярный подтип;</w:t>
            </w:r>
          </w:p>
          <w:p w14:paraId="7A26E3D0" w14:textId="77777777" w:rsidR="000172E5" w:rsidRPr="000172E5" w:rsidRDefault="000172E5" w:rsidP="000172E5">
            <w:pPr>
              <w:pStyle w:val="TableLeft"/>
              <w:numPr>
                <w:ilvl w:val="0"/>
                <w:numId w:val="25"/>
              </w:numPr>
              <w:ind w:left="180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низкоуровневые характеристики, извлечённые с помощью предварительно обученной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нейронной сети из изображений до и в начале лечения; низкоуровневые характеристики —локальные детали (края, линии и точки на изображении)</w:t>
            </w:r>
          </w:p>
        </w:tc>
        <w:tc>
          <w:tcPr>
            <w:tcW w:w="5245" w:type="dxa"/>
          </w:tcPr>
          <w:p w14:paraId="40FEA670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на основе молекулярных признаков: точность, чувствительность и специфичность — 0,69, 0,43 и 0,79 соответственно;</w:t>
            </w:r>
          </w:p>
          <w:p w14:paraId="0443E48B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комбинированая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 (молекулярные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признаки):</w:t>
            </w:r>
          </w:p>
          <w:p w14:paraId="3BA35168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AUC=0,90, точность, чувствительность и специфичность — 0,92, 0,86 и 0,95 соответственно;</w:t>
            </w:r>
          </w:p>
          <w:p w14:paraId="0376E35E" w14:textId="77777777" w:rsidR="000172E5" w:rsidRPr="000172E5" w:rsidRDefault="000172E5" w:rsidP="000172E5">
            <w:pPr>
              <w:pStyle w:val="TableLeft"/>
              <w:numPr>
                <w:ilvl w:val="0"/>
                <w:numId w:val="26"/>
              </w:numPr>
              <w:ind w:left="181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низкоуровневые характеристики, извлечённые с помощью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свёрточной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нейронной сети из изображений до и в начале лечения, играют важную роль в раннем прогнозировании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  <w:tr w:rsidR="000172E5" w:rsidRPr="000172E5" w14:paraId="08050B0D" w14:textId="77777777" w:rsidTr="00A4438C">
        <w:tc>
          <w:tcPr>
            <w:tcW w:w="1135" w:type="dxa"/>
          </w:tcPr>
          <w:p w14:paraId="496B62E0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Y. 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Peng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[57]</w:t>
            </w:r>
          </w:p>
        </w:tc>
        <w:tc>
          <w:tcPr>
            <w:tcW w:w="2268" w:type="dxa"/>
          </w:tcPr>
          <w:p w14:paraId="37BCF4F5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использовать изображения МРТ до лечения с целью сравнения прогностических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глубоких моделей </w:t>
            </w:r>
          </w:p>
        </w:tc>
        <w:tc>
          <w:tcPr>
            <w:tcW w:w="1559" w:type="dxa"/>
          </w:tcPr>
          <w:p w14:paraId="670E33B8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356 пациенток</w:t>
            </w:r>
          </w:p>
        </w:tc>
        <w:tc>
          <w:tcPr>
            <w:tcW w:w="1418" w:type="dxa"/>
          </w:tcPr>
          <w:p w14:paraId="26E2F615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6C074E1B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молекулярные признаки: ER, PR, HER2 статус и индекс Ki-67;</w:t>
            </w:r>
          </w:p>
          <w:p w14:paraId="6F4C50C6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кинетические параметры (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perscript"/>
              </w:rPr>
              <w:t>trans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k</w:t>
            </w:r>
            <w:r w:rsidRPr="000172E5">
              <w:rPr>
                <w:color w:val="auto"/>
                <w:sz w:val="16"/>
                <w:szCs w:val="16"/>
                <w:vertAlign w:val="subscript"/>
              </w:rPr>
              <w:t>ep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MaxSlope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); форма,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вейвлетные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, текстурные и статистические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интенсивностные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характеристики, извлечённые ручным способом (модели линейного дискриминантного анализа);</w:t>
            </w:r>
          </w:p>
          <w:p w14:paraId="5DC3BC94" w14:textId="77777777" w:rsidR="000172E5" w:rsidRPr="000172E5" w:rsidRDefault="000172E5" w:rsidP="000172E5">
            <w:pPr>
              <w:pStyle w:val="TableLeft"/>
              <w:numPr>
                <w:ilvl w:val="0"/>
                <w:numId w:val="21"/>
              </w:numPr>
              <w:ind w:left="181" w:hanging="142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автоматическое извлечение различительных признаков непосредственно из изображений с использованием ResNeXt50 (модель глубокого обучения)</w:t>
            </w:r>
          </w:p>
        </w:tc>
        <w:tc>
          <w:tcPr>
            <w:tcW w:w="5245" w:type="dxa"/>
          </w:tcPr>
          <w:p w14:paraId="39267553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на основе молекулярных признаков: AUC=0,74, точность, чувствительность и специфичность — 0,67, 0,81 и 0,63 соответственно;</w:t>
            </w:r>
          </w:p>
          <w:p w14:paraId="136FB8C9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>на основе кинетических параметров: AUC=0,68, точность, чувствительность и специфичность — 0,64, 0,68 и 0,63 соответственно;</w:t>
            </w:r>
          </w:p>
          <w:p w14:paraId="4010C35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линейного дискриминантного анализа</w:t>
            </w:r>
            <w:r w:rsidRPr="000172E5" w:rsidDel="009F501D">
              <w:rPr>
                <w:color w:val="auto"/>
                <w:sz w:val="16"/>
                <w:szCs w:val="16"/>
              </w:rPr>
              <w:t xml:space="preserve"> </w:t>
            </w:r>
            <w:r w:rsidRPr="000172E5">
              <w:rPr>
                <w:color w:val="auto"/>
                <w:sz w:val="16"/>
                <w:szCs w:val="16"/>
              </w:rPr>
              <w:t xml:space="preserve">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все метрики &lt;61%;</w:t>
            </w:r>
          </w:p>
          <w:p w14:paraId="5E23F0D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комбинированая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модель (все признаки): AUC=0,78, точность, чувствительность и специфичность — 0,73, 0,80 и 0,71 соответственно;</w:t>
            </w:r>
          </w:p>
          <w:p w14:paraId="23DC814A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глубокого обучения на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основемолекулярных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AUC=0,75, точность, чувствительность и специфичность — 0,66, 0,81 и 0,62 соответственно;</w:t>
            </w:r>
          </w:p>
          <w:p w14:paraId="5D58CB66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модель глубокого обучения на основе кинетических параметров: AUC=0,65, точность, чувствительность и специфичность — 0,65, 0,61 и 0,66 соответственно;</w:t>
            </w:r>
          </w:p>
          <w:p w14:paraId="327FE7E4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модель глубокого обучения на основе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признаков: все метрики &lt;60%;</w:t>
            </w:r>
          </w:p>
          <w:p w14:paraId="6FEFD584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глубокого обучения (все признаки): AUC=0,83, точность, чувствительность и специфичность — 0,77, 0,78 и 0,77 соответственно;</w:t>
            </w:r>
          </w:p>
          <w:p w14:paraId="5EDF11ED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модели, использующие только молекулярные признаки, показывали лучшую предсказательную эффективность по сравнению с моделями, использующими только кинетические или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признаки; </w:t>
            </w:r>
          </w:p>
          <w:p w14:paraId="2EBF9D5F" w14:textId="77777777" w:rsidR="000172E5" w:rsidRPr="000172E5" w:rsidRDefault="000172E5" w:rsidP="000172E5">
            <w:pPr>
              <w:pStyle w:val="TableLeft"/>
              <w:numPr>
                <w:ilvl w:val="0"/>
                <w:numId w:val="24"/>
              </w:numPr>
              <w:ind w:left="166" w:hanging="141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>комбинированная модель глубокого обучения продемонстрировала лучшую прогностическую ценность</w:t>
            </w:r>
          </w:p>
        </w:tc>
      </w:tr>
      <w:tr w:rsidR="000172E5" w:rsidRPr="000172E5" w14:paraId="1B7E3E45" w14:textId="77777777" w:rsidTr="00A4438C">
        <w:tc>
          <w:tcPr>
            <w:tcW w:w="1135" w:type="dxa"/>
          </w:tcPr>
          <w:p w14:paraId="4485946A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  <w:lang w:val="en-US"/>
              </w:rPr>
              <w:t>Y. </w:t>
            </w:r>
            <w:r w:rsidRPr="000172E5">
              <w:rPr>
                <w:color w:val="auto"/>
                <w:sz w:val="16"/>
                <w:szCs w:val="16"/>
              </w:rPr>
              <w:t xml:space="preserve">Li 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>. [58]</w:t>
            </w:r>
          </w:p>
        </w:tc>
        <w:tc>
          <w:tcPr>
            <w:tcW w:w="2268" w:type="dxa"/>
          </w:tcPr>
          <w:p w14:paraId="539B842B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создать номограмму для прогнозирования вероятности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у пациенток с тройным негативным РМЖ </w:t>
            </w:r>
            <w:r w:rsidRPr="000172E5">
              <w:rPr>
                <w:color w:val="auto"/>
                <w:sz w:val="16"/>
                <w:szCs w:val="16"/>
              </w:rPr>
              <w:lastRenderedPageBreak/>
              <w:t>на основе признаков, извлечённых из МРТ до лечения, и клинико-молекулярных характеристик</w:t>
            </w:r>
          </w:p>
        </w:tc>
        <w:tc>
          <w:tcPr>
            <w:tcW w:w="1559" w:type="dxa"/>
          </w:tcPr>
          <w:p w14:paraId="102A4169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>108 пациенток с тройным отрицательным РМЖ:</w:t>
            </w:r>
          </w:p>
          <w:p w14:paraId="401C202D" w14:textId="77777777" w:rsidR="000172E5" w:rsidRPr="000172E5" w:rsidRDefault="000172E5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обучающая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=87;</w:t>
            </w:r>
          </w:p>
          <w:p w14:paraId="120B3FAF" w14:textId="77777777" w:rsidR="000172E5" w:rsidRPr="000172E5" w:rsidRDefault="000172E5" w:rsidP="00A4438C">
            <w:pPr>
              <w:pStyle w:val="Table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валидационная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выборка, </w:t>
            </w:r>
            <w:r w:rsidRPr="000172E5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0172E5">
              <w:rPr>
                <w:color w:val="auto"/>
                <w:sz w:val="16"/>
                <w:szCs w:val="16"/>
              </w:rPr>
              <w:t>=21</w:t>
            </w:r>
          </w:p>
        </w:tc>
        <w:tc>
          <w:tcPr>
            <w:tcW w:w="1418" w:type="dxa"/>
          </w:tcPr>
          <w:p w14:paraId="5496CE2D" w14:textId="77777777" w:rsidR="000172E5" w:rsidRPr="000172E5" w:rsidRDefault="000172E5" w:rsidP="00A4438C">
            <w:pPr>
              <w:pStyle w:val="TableCenter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lastRenderedPageBreak/>
              <w:t>одноцентровое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ретроспективное </w:t>
            </w:r>
          </w:p>
        </w:tc>
        <w:tc>
          <w:tcPr>
            <w:tcW w:w="3260" w:type="dxa"/>
          </w:tcPr>
          <w:p w14:paraId="387077A1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клинические признаки: содержание CA 15-3, CA 125, CEA, семейный анамнез РМЖ, индекс массы тела,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лимфоваскулярная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инвазия;</w:t>
            </w:r>
          </w:p>
          <w:p w14:paraId="4DAA28D0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молекулярные признаки: ER, PR, HER2, </w:t>
            </w:r>
            <w:r w:rsidRPr="000172E5">
              <w:rPr>
                <w:color w:val="auto"/>
                <w:sz w:val="16"/>
                <w:szCs w:val="16"/>
                <w:lang w:val="en-US"/>
              </w:rPr>
              <w:t>AR</w:t>
            </w:r>
            <w:r w:rsidRPr="000172E5">
              <w:rPr>
                <w:color w:val="auto"/>
                <w:sz w:val="16"/>
                <w:szCs w:val="16"/>
              </w:rPr>
              <w:t xml:space="preserve"> статус, индекс Ki-67; </w:t>
            </w:r>
          </w:p>
          <w:p w14:paraId="13EC9ECA" w14:textId="77777777" w:rsidR="000172E5" w:rsidRPr="000172E5" w:rsidRDefault="000172E5" w:rsidP="000172E5">
            <w:pPr>
              <w:pStyle w:val="TableLeft"/>
              <w:numPr>
                <w:ilvl w:val="0"/>
                <w:numId w:val="20"/>
              </w:numPr>
              <w:ind w:left="181" w:hanging="142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0172E5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признаки: время пика, объём опухоли и максимальный диаметр опухоли</w:t>
            </w:r>
          </w:p>
        </w:tc>
        <w:tc>
          <w:tcPr>
            <w:tcW w:w="5245" w:type="dxa"/>
          </w:tcPr>
          <w:p w14:paraId="77945C15" w14:textId="77777777" w:rsidR="000172E5" w:rsidRPr="000172E5" w:rsidRDefault="000172E5" w:rsidP="000172E5">
            <w:pPr>
              <w:pStyle w:val="TableLeft"/>
              <w:numPr>
                <w:ilvl w:val="0"/>
                <w:numId w:val="23"/>
              </w:numPr>
              <w:ind w:left="166" w:hanging="141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номограмма в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валидационной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 когорте: AUC=0,79; </w:t>
            </w:r>
          </w:p>
          <w:p w14:paraId="119D9462" w14:textId="77777777" w:rsidR="000172E5" w:rsidRPr="000172E5" w:rsidRDefault="000172E5" w:rsidP="000172E5">
            <w:pPr>
              <w:pStyle w:val="TableLeft"/>
              <w:numPr>
                <w:ilvl w:val="0"/>
                <w:numId w:val="22"/>
              </w:numPr>
              <w:ind w:left="166" w:hanging="132"/>
              <w:jc w:val="both"/>
              <w:rPr>
                <w:color w:val="auto"/>
                <w:sz w:val="16"/>
                <w:szCs w:val="16"/>
              </w:rPr>
            </w:pPr>
            <w:r w:rsidRPr="000172E5">
              <w:rPr>
                <w:color w:val="auto"/>
                <w:sz w:val="16"/>
                <w:szCs w:val="16"/>
              </w:rPr>
              <w:t xml:space="preserve">номограмма, включающая 3 признака до лечения (объём опухоли, время пика и статус AR), обладает хорошей способностью предсказывать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0172E5">
              <w:rPr>
                <w:color w:val="auto"/>
                <w:sz w:val="16"/>
                <w:szCs w:val="16"/>
              </w:rPr>
              <w:t xml:space="preserve">; </w:t>
            </w:r>
          </w:p>
          <w:p w14:paraId="655225BA" w14:textId="77777777" w:rsidR="000172E5" w:rsidRPr="000172E5" w:rsidRDefault="000172E5" w:rsidP="000172E5">
            <w:pPr>
              <w:pStyle w:val="TableLeft"/>
              <w:numPr>
                <w:ilvl w:val="0"/>
                <w:numId w:val="22"/>
              </w:numPr>
              <w:ind w:left="166" w:hanging="132"/>
              <w:jc w:val="both"/>
              <w:rPr>
                <w:b/>
                <w:bCs/>
                <w:color w:val="auto"/>
              </w:rPr>
            </w:pPr>
            <w:r w:rsidRPr="000172E5">
              <w:rPr>
                <w:color w:val="auto"/>
                <w:sz w:val="16"/>
                <w:szCs w:val="16"/>
              </w:rPr>
              <w:lastRenderedPageBreak/>
              <w:t xml:space="preserve">более высокое время пика — меньшая вероятность достижения </w:t>
            </w:r>
            <w:proofErr w:type="spellStart"/>
            <w:r w:rsidRPr="000172E5">
              <w:rPr>
                <w:color w:val="auto"/>
                <w:sz w:val="16"/>
                <w:szCs w:val="16"/>
              </w:rPr>
              <w:t>pCR</w:t>
            </w:r>
            <w:proofErr w:type="spellEnd"/>
          </w:p>
        </w:tc>
      </w:tr>
    </w:tbl>
    <w:p w14:paraId="55278D8B" w14:textId="77777777" w:rsidR="000172E5" w:rsidRPr="000172E5" w:rsidRDefault="000172E5" w:rsidP="000172E5">
      <w:pPr>
        <w:pStyle w:val="TablNote"/>
        <w:rPr>
          <w:color w:val="auto"/>
        </w:rPr>
      </w:pPr>
      <w:r w:rsidRPr="000172E5">
        <w:rPr>
          <w:i/>
          <w:iCs/>
          <w:color w:val="auto"/>
        </w:rPr>
        <w:lastRenderedPageBreak/>
        <w:t>Примечание</w:t>
      </w:r>
      <w:r w:rsidRPr="000172E5">
        <w:rPr>
          <w:color w:val="auto"/>
        </w:rPr>
        <w:t xml:space="preserve">. МРТ — магнитно-резонансная томография; НАХТ — </w:t>
      </w:r>
      <w:proofErr w:type="spellStart"/>
      <w:r w:rsidRPr="000172E5">
        <w:rPr>
          <w:color w:val="auto"/>
        </w:rPr>
        <w:t>неоадъювантная</w:t>
      </w:r>
      <w:proofErr w:type="spellEnd"/>
      <w:r w:rsidRPr="000172E5">
        <w:rPr>
          <w:color w:val="auto"/>
        </w:rPr>
        <w:t xml:space="preserve"> химиотерапия; РМЖ — рак молочной железы; TIL (</w:t>
      </w:r>
      <w:proofErr w:type="spellStart"/>
      <w:r w:rsidRPr="000172E5">
        <w:rPr>
          <w:color w:val="auto"/>
        </w:rPr>
        <w:t>Tumor-Infiltrating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Lymphocyte</w:t>
      </w:r>
      <w:proofErr w:type="spellEnd"/>
      <w:r w:rsidRPr="000172E5">
        <w:rPr>
          <w:color w:val="auto"/>
        </w:rPr>
        <w:t xml:space="preserve">) — инфильтрирующие опухоль лимфоциты; AUC (Area </w:t>
      </w:r>
      <w:proofErr w:type="spellStart"/>
      <w:r w:rsidRPr="000172E5">
        <w:rPr>
          <w:color w:val="auto"/>
        </w:rPr>
        <w:t>Under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the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Curve</w:t>
      </w:r>
      <w:proofErr w:type="spellEnd"/>
      <w:r w:rsidRPr="000172E5">
        <w:rPr>
          <w:color w:val="auto"/>
        </w:rPr>
        <w:t>) — площадь под кривой; ADI (</w:t>
      </w:r>
      <w:proofErr w:type="spellStart"/>
      <w:r w:rsidRPr="000172E5">
        <w:rPr>
          <w:color w:val="auto"/>
        </w:rPr>
        <w:t>Anisotropic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Deformation</w:t>
      </w:r>
      <w:proofErr w:type="spellEnd"/>
      <w:r w:rsidRPr="000172E5">
        <w:rPr>
          <w:color w:val="auto"/>
        </w:rPr>
        <w:t xml:space="preserve"> Index) — анизотропный индекс деформации; SRI (</w:t>
      </w:r>
      <w:proofErr w:type="spellStart"/>
      <w:r w:rsidRPr="000172E5">
        <w:rPr>
          <w:color w:val="auto"/>
        </w:rPr>
        <w:t>Slab-Rod</w:t>
      </w:r>
      <w:proofErr w:type="spellEnd"/>
      <w:r w:rsidRPr="000172E5">
        <w:rPr>
          <w:color w:val="auto"/>
        </w:rPr>
        <w:t xml:space="preserve"> Index) — индекс «плита–стержень»; FTV (</w:t>
      </w:r>
      <w:proofErr w:type="spellStart"/>
      <w:r w:rsidRPr="000172E5">
        <w:rPr>
          <w:color w:val="auto"/>
        </w:rPr>
        <w:t>Functional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Tumor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Volume</w:t>
      </w:r>
      <w:proofErr w:type="spellEnd"/>
      <w:r w:rsidRPr="000172E5">
        <w:rPr>
          <w:color w:val="auto"/>
        </w:rPr>
        <w:t>) — функциональный объём опухоли; PE (</w:t>
      </w:r>
      <w:proofErr w:type="spellStart"/>
      <w:r w:rsidRPr="000172E5">
        <w:rPr>
          <w:color w:val="auto"/>
        </w:rPr>
        <w:t>Peak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Enhancement</w:t>
      </w:r>
      <w:proofErr w:type="spellEnd"/>
      <w:r w:rsidRPr="000172E5">
        <w:rPr>
          <w:color w:val="auto"/>
        </w:rPr>
        <w:t>) — пиковое усиление; WIS (</w:t>
      </w:r>
      <w:proofErr w:type="spellStart"/>
      <w:r w:rsidRPr="000172E5">
        <w:rPr>
          <w:color w:val="auto"/>
        </w:rPr>
        <w:t>Wash-in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Slope</w:t>
      </w:r>
      <w:proofErr w:type="spellEnd"/>
      <w:r w:rsidRPr="000172E5">
        <w:rPr>
          <w:color w:val="auto"/>
        </w:rPr>
        <w:t>) — скорость накопления контрастного вещества; WOS (</w:t>
      </w:r>
      <w:proofErr w:type="spellStart"/>
      <w:r w:rsidRPr="000172E5">
        <w:rPr>
          <w:color w:val="auto"/>
        </w:rPr>
        <w:t>Wash-out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Slope</w:t>
      </w:r>
      <w:proofErr w:type="spellEnd"/>
      <w:r w:rsidRPr="000172E5">
        <w:rPr>
          <w:color w:val="auto"/>
        </w:rPr>
        <w:t>) — скорость вымывания контрастного вещества; SER (</w:t>
      </w:r>
      <w:proofErr w:type="spellStart"/>
      <w:r w:rsidRPr="000172E5">
        <w:rPr>
          <w:color w:val="auto"/>
        </w:rPr>
        <w:t>Signal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Enhancement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Ratio</w:t>
      </w:r>
      <w:proofErr w:type="spellEnd"/>
      <w:r w:rsidRPr="000172E5">
        <w:rPr>
          <w:color w:val="auto"/>
        </w:rPr>
        <w:t>) — коэффициент усиления сигнала; I-SPY 1 (</w:t>
      </w:r>
      <w:proofErr w:type="spellStart"/>
      <w:r w:rsidRPr="000172E5">
        <w:rPr>
          <w:color w:val="auto"/>
        </w:rPr>
        <w:t>Investigation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of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Serial</w:t>
      </w:r>
      <w:proofErr w:type="spellEnd"/>
      <w:r w:rsidRPr="000172E5">
        <w:rPr>
          <w:color w:val="auto"/>
        </w:rPr>
        <w:t xml:space="preserve"> Studies </w:t>
      </w:r>
      <w:proofErr w:type="spellStart"/>
      <w:r w:rsidRPr="000172E5">
        <w:rPr>
          <w:color w:val="auto"/>
        </w:rPr>
        <w:t>to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Predict</w:t>
      </w:r>
      <w:proofErr w:type="spellEnd"/>
      <w:r w:rsidRPr="000172E5">
        <w:rPr>
          <w:color w:val="auto"/>
        </w:rPr>
        <w:t xml:space="preserve"> Your </w:t>
      </w:r>
      <w:proofErr w:type="spellStart"/>
      <w:r w:rsidRPr="000172E5">
        <w:rPr>
          <w:color w:val="auto"/>
        </w:rPr>
        <w:t>Therapeutic</w:t>
      </w:r>
      <w:proofErr w:type="spellEnd"/>
      <w:r w:rsidRPr="000172E5">
        <w:rPr>
          <w:color w:val="auto"/>
        </w:rPr>
        <w:t xml:space="preserve"> Response </w:t>
      </w:r>
      <w:proofErr w:type="spellStart"/>
      <w:r w:rsidRPr="000172E5">
        <w:rPr>
          <w:color w:val="auto"/>
        </w:rPr>
        <w:t>with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Imaging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and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Molecular</w:t>
      </w:r>
      <w:proofErr w:type="spellEnd"/>
      <w:r w:rsidRPr="000172E5">
        <w:rPr>
          <w:color w:val="auto"/>
        </w:rPr>
        <w:t xml:space="preserve"> Analysis 1) — Серийное исследование </w:t>
      </w:r>
      <w:proofErr w:type="spellStart"/>
      <w:r w:rsidRPr="000172E5">
        <w:rPr>
          <w:color w:val="auto"/>
        </w:rPr>
        <w:t>визуализационных</w:t>
      </w:r>
      <w:proofErr w:type="spellEnd"/>
      <w:r w:rsidRPr="000172E5">
        <w:rPr>
          <w:color w:val="auto"/>
        </w:rPr>
        <w:t xml:space="preserve"> и молекулярных методов для прогнозирования ответа на терапию при раке молочной железы; PRM (</w:t>
      </w:r>
      <w:proofErr w:type="spellStart"/>
      <w:r w:rsidRPr="000172E5">
        <w:rPr>
          <w:color w:val="auto"/>
        </w:rPr>
        <w:t>Parametric</w:t>
      </w:r>
      <w:proofErr w:type="spellEnd"/>
      <w:r w:rsidRPr="000172E5">
        <w:rPr>
          <w:color w:val="auto"/>
        </w:rPr>
        <w:t xml:space="preserve"> Response </w:t>
      </w:r>
      <w:proofErr w:type="spellStart"/>
      <w:r w:rsidRPr="000172E5">
        <w:rPr>
          <w:color w:val="auto"/>
        </w:rPr>
        <w:t>Map</w:t>
      </w:r>
      <w:proofErr w:type="spellEnd"/>
      <w:r w:rsidRPr="000172E5">
        <w:rPr>
          <w:color w:val="auto"/>
        </w:rPr>
        <w:t>) — параметрическая карта ответа; GLCM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 Level Co-</w:t>
      </w:r>
      <w:proofErr w:type="spellStart"/>
      <w:r w:rsidRPr="000172E5">
        <w:rPr>
          <w:color w:val="auto"/>
        </w:rPr>
        <w:t>occurrence</w:t>
      </w:r>
      <w:proofErr w:type="spellEnd"/>
      <w:r w:rsidRPr="000172E5">
        <w:rPr>
          <w:color w:val="auto"/>
        </w:rPr>
        <w:t xml:space="preserve"> Matrix) — матрица совместной встречаемости уровней серого; GLRLM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Run-Length</w:t>
      </w:r>
      <w:proofErr w:type="spellEnd"/>
      <w:r w:rsidRPr="000172E5">
        <w:rPr>
          <w:color w:val="auto"/>
        </w:rPr>
        <w:t xml:space="preserve"> Matrix) — матрица длин пробегов уровней серого; Ki-67 — индекс пролиферативной активности; GLSZM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Size</w:t>
      </w:r>
      <w:proofErr w:type="spellEnd"/>
      <w:r w:rsidRPr="000172E5">
        <w:rPr>
          <w:color w:val="auto"/>
        </w:rPr>
        <w:t>-Zone Matrix) — матрица размеров зон уровней серого; GLDM (</w:t>
      </w:r>
      <w:proofErr w:type="spellStart"/>
      <w:r w:rsidRPr="000172E5">
        <w:rPr>
          <w:color w:val="auto"/>
        </w:rPr>
        <w:t>Gray</w:t>
      </w:r>
      <w:proofErr w:type="spellEnd"/>
      <w:r w:rsidRPr="000172E5">
        <w:rPr>
          <w:color w:val="auto"/>
        </w:rPr>
        <w:t xml:space="preserve">-Level </w:t>
      </w:r>
      <w:proofErr w:type="spellStart"/>
      <w:r w:rsidRPr="000172E5">
        <w:rPr>
          <w:color w:val="auto"/>
        </w:rPr>
        <w:t>Dependence</w:t>
      </w:r>
      <w:proofErr w:type="spellEnd"/>
      <w:r w:rsidRPr="000172E5">
        <w:rPr>
          <w:color w:val="auto"/>
        </w:rPr>
        <w:t xml:space="preserve"> Matrix) — матрица зависимости уровней серого; </w:t>
      </w:r>
      <w:proofErr w:type="spellStart"/>
      <w:r w:rsidRPr="000172E5">
        <w:rPr>
          <w:color w:val="auto"/>
        </w:rPr>
        <w:t>K</w:t>
      </w:r>
      <w:r w:rsidRPr="000172E5">
        <w:rPr>
          <w:color w:val="auto"/>
          <w:vertAlign w:val="superscript"/>
        </w:rPr>
        <w:t>trans</w:t>
      </w:r>
      <w:proofErr w:type="spellEnd"/>
      <w:r w:rsidRPr="000172E5">
        <w:rPr>
          <w:color w:val="auto"/>
        </w:rPr>
        <w:t xml:space="preserve"> — константа переноса; </w:t>
      </w:r>
      <w:proofErr w:type="spellStart"/>
      <w:r w:rsidRPr="000172E5">
        <w:rPr>
          <w:color w:val="auto"/>
        </w:rPr>
        <w:t>k</w:t>
      </w:r>
      <w:r w:rsidRPr="000172E5">
        <w:rPr>
          <w:color w:val="auto"/>
          <w:vertAlign w:val="subscript"/>
        </w:rPr>
        <w:t>ep</w:t>
      </w:r>
      <w:proofErr w:type="spellEnd"/>
      <w:r w:rsidRPr="000172E5">
        <w:rPr>
          <w:color w:val="auto"/>
        </w:rPr>
        <w:t xml:space="preserve"> — константа скорости элиминации; </w:t>
      </w:r>
      <w:proofErr w:type="spellStart"/>
      <w:r w:rsidRPr="000172E5">
        <w:rPr>
          <w:color w:val="auto"/>
        </w:rPr>
        <w:t>v</w:t>
      </w:r>
      <w:r w:rsidRPr="000172E5">
        <w:rPr>
          <w:color w:val="auto"/>
          <w:vertAlign w:val="subscript"/>
        </w:rPr>
        <w:t>e</w:t>
      </w:r>
      <w:proofErr w:type="spellEnd"/>
      <w:r w:rsidRPr="000172E5">
        <w:rPr>
          <w:color w:val="auto"/>
        </w:rPr>
        <w:t xml:space="preserve"> — относительное экстраваскулярное внеклеточное пространство; </w:t>
      </w:r>
      <w:proofErr w:type="spellStart"/>
      <w:r w:rsidRPr="000172E5">
        <w:rPr>
          <w:color w:val="auto"/>
        </w:rPr>
        <w:t>pCR</w:t>
      </w:r>
      <w:proofErr w:type="spellEnd"/>
      <w:r w:rsidRPr="000172E5">
        <w:rPr>
          <w:color w:val="auto"/>
        </w:rPr>
        <w:t> (</w:t>
      </w:r>
      <w:proofErr w:type="spellStart"/>
      <w:r w:rsidRPr="000172E5">
        <w:rPr>
          <w:color w:val="auto"/>
        </w:rPr>
        <w:t>pathological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Complete</w:t>
      </w:r>
      <w:proofErr w:type="spellEnd"/>
      <w:r w:rsidRPr="000172E5">
        <w:rPr>
          <w:color w:val="auto"/>
        </w:rPr>
        <w:t xml:space="preserve"> Response) — полный патоморфологический ответ; </w:t>
      </w:r>
      <w:proofErr w:type="spellStart"/>
      <w:r w:rsidRPr="000172E5">
        <w:rPr>
          <w:color w:val="auto"/>
        </w:rPr>
        <w:t>non-pCR</w:t>
      </w:r>
      <w:proofErr w:type="spellEnd"/>
      <w:r w:rsidRPr="000172E5">
        <w:rPr>
          <w:color w:val="auto"/>
        </w:rPr>
        <w:t xml:space="preserve"> (</w:t>
      </w:r>
      <w:proofErr w:type="spellStart"/>
      <w:r w:rsidRPr="000172E5">
        <w:rPr>
          <w:color w:val="auto"/>
        </w:rPr>
        <w:t>non-pathological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Complete</w:t>
      </w:r>
      <w:proofErr w:type="spellEnd"/>
      <w:r w:rsidRPr="000172E5">
        <w:rPr>
          <w:color w:val="auto"/>
        </w:rPr>
        <w:t xml:space="preserve"> Response) — отсутствие полного патоморфологического ответа; ER (</w:t>
      </w:r>
      <w:proofErr w:type="spellStart"/>
      <w:r w:rsidRPr="000172E5">
        <w:rPr>
          <w:color w:val="auto"/>
        </w:rPr>
        <w:t>Estrogen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>) — рецептор эстрогена; PR (</w:t>
      </w:r>
      <w:proofErr w:type="spellStart"/>
      <w:r w:rsidRPr="000172E5">
        <w:rPr>
          <w:color w:val="auto"/>
        </w:rPr>
        <w:t>Progesterone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 xml:space="preserve">) — рецептор прогестерона; HER2 (Human </w:t>
      </w:r>
      <w:proofErr w:type="spellStart"/>
      <w:r w:rsidRPr="000172E5">
        <w:rPr>
          <w:color w:val="auto"/>
        </w:rPr>
        <w:t>Epidermal</w:t>
      </w:r>
      <w:proofErr w:type="spellEnd"/>
      <w:r w:rsidRPr="000172E5">
        <w:rPr>
          <w:color w:val="auto"/>
        </w:rPr>
        <w:t xml:space="preserve"> Growth </w:t>
      </w:r>
      <w:proofErr w:type="spellStart"/>
      <w:r w:rsidRPr="000172E5">
        <w:rPr>
          <w:color w:val="auto"/>
        </w:rPr>
        <w:t>Factor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 xml:space="preserve"> 2) — рецептор эпидермального фактора роста человека 2-го типа; </w:t>
      </w:r>
      <w:proofErr w:type="spellStart"/>
      <w:r w:rsidRPr="000172E5">
        <w:rPr>
          <w:color w:val="auto"/>
        </w:rPr>
        <w:t>MaxSlope</w:t>
      </w:r>
      <w:proofErr w:type="spellEnd"/>
      <w:r w:rsidRPr="000172E5">
        <w:rPr>
          <w:color w:val="auto"/>
        </w:rPr>
        <w:t> — максимальный уклон; CA 15-3 (</w:t>
      </w:r>
      <w:proofErr w:type="spellStart"/>
      <w:r w:rsidRPr="000172E5">
        <w:rPr>
          <w:color w:val="auto"/>
        </w:rPr>
        <w:t>Carcinoma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 15-3) — опухолевый маркёр, используемый при мониторинге течения и оценки эффективности терапии рака молочной железы; CA 125 (</w:t>
      </w:r>
      <w:proofErr w:type="spellStart"/>
      <w:r w:rsidRPr="000172E5">
        <w:rPr>
          <w:color w:val="auto"/>
        </w:rPr>
        <w:t>Сancer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 125) — опухолевый маркёр рака яичников и его метастазов; CEA (</w:t>
      </w:r>
      <w:proofErr w:type="spellStart"/>
      <w:r w:rsidRPr="000172E5">
        <w:rPr>
          <w:color w:val="auto"/>
        </w:rPr>
        <w:t>Carcinoembryonic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Antigen</w:t>
      </w:r>
      <w:proofErr w:type="spellEnd"/>
      <w:r w:rsidRPr="000172E5">
        <w:rPr>
          <w:color w:val="auto"/>
        </w:rPr>
        <w:t>) — раково-эмбриональный антиген; AR (</w:t>
      </w:r>
      <w:proofErr w:type="spellStart"/>
      <w:r w:rsidRPr="000172E5">
        <w:rPr>
          <w:color w:val="auto"/>
        </w:rPr>
        <w:t>Androgen</w:t>
      </w:r>
      <w:proofErr w:type="spellEnd"/>
      <w:r w:rsidRPr="000172E5">
        <w:rPr>
          <w:color w:val="auto"/>
        </w:rPr>
        <w:t xml:space="preserve"> </w:t>
      </w:r>
      <w:proofErr w:type="spellStart"/>
      <w:r w:rsidRPr="000172E5">
        <w:rPr>
          <w:color w:val="auto"/>
        </w:rPr>
        <w:t>Receptor</w:t>
      </w:r>
      <w:proofErr w:type="spellEnd"/>
      <w:r w:rsidRPr="000172E5">
        <w:rPr>
          <w:color w:val="auto"/>
        </w:rPr>
        <w:t>) — андрогенный рецептор.</w:t>
      </w:r>
    </w:p>
    <w:p w14:paraId="1AF34300" w14:textId="77777777" w:rsidR="00952736" w:rsidRPr="000172E5" w:rsidRDefault="00952736" w:rsidP="000172E5"/>
    <w:sectPr w:rsidR="00952736" w:rsidRPr="000172E5" w:rsidSect="001B2200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C53C" w14:textId="77777777" w:rsidR="00F05EF4" w:rsidRDefault="00F05EF4" w:rsidP="001B2200">
      <w:pPr>
        <w:spacing w:line="240" w:lineRule="auto"/>
      </w:pPr>
      <w:r>
        <w:separator/>
      </w:r>
    </w:p>
  </w:endnote>
  <w:endnote w:type="continuationSeparator" w:id="0">
    <w:p w14:paraId="32097C06" w14:textId="77777777" w:rsidR="00F05EF4" w:rsidRDefault="00F05EF4" w:rsidP="001B2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4762" w14:textId="77777777" w:rsidR="00F05EF4" w:rsidRDefault="00F05EF4" w:rsidP="001B2200">
      <w:pPr>
        <w:spacing w:line="240" w:lineRule="auto"/>
      </w:pPr>
      <w:r>
        <w:separator/>
      </w:r>
    </w:p>
  </w:footnote>
  <w:footnote w:type="continuationSeparator" w:id="0">
    <w:p w14:paraId="59D284DE" w14:textId="77777777" w:rsidR="00F05EF4" w:rsidRDefault="00F05EF4" w:rsidP="001B2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A67" w14:textId="4841E84F" w:rsidR="001B2200" w:rsidRPr="00BD4797" w:rsidRDefault="001B2200" w:rsidP="001B2200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9146213" w14:textId="77777777" w:rsidR="001B2200" w:rsidRPr="0044593A" w:rsidRDefault="001B2200" w:rsidP="001B2200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44593A">
      <w:rPr>
        <w:b/>
        <w:bCs/>
      </w:rPr>
      <w:t xml:space="preserve"> </w:t>
    </w:r>
    <w:r>
      <w:rPr>
        <w:b/>
        <w:bCs/>
      </w:rPr>
      <w:t>обзоры</w:t>
    </w:r>
    <w:r w:rsidRPr="0044593A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6E0321BB" w14:textId="432ECE73" w:rsidR="001B2200" w:rsidRPr="00B85F59" w:rsidRDefault="001B2200" w:rsidP="0044593A">
    <w:pPr>
      <w:pBdr>
        <w:bottom w:val="single" w:sz="12" w:space="1" w:color="auto"/>
      </w:pBdr>
      <w:jc w:val="center"/>
    </w:pPr>
    <w:r w:rsidRPr="0044593A">
      <w:t>DOI: </w:t>
    </w:r>
    <w:hyperlink r:id="rId1" w:history="1">
      <w:r w:rsidR="00B85F59" w:rsidRPr="00DE100D">
        <w:rPr>
          <w:rStyle w:val="af2"/>
          <w:lang w:val="en-US"/>
        </w:rPr>
        <w:t>https</w:t>
      </w:r>
      <w:r w:rsidR="00B85F59" w:rsidRPr="00DE100D">
        <w:rPr>
          <w:rStyle w:val="af2"/>
        </w:rPr>
        <w:t>://</w:t>
      </w:r>
      <w:proofErr w:type="spellStart"/>
      <w:r w:rsidR="00B85F59" w:rsidRPr="00DE100D">
        <w:rPr>
          <w:rStyle w:val="af2"/>
          <w:lang w:val="en-US"/>
        </w:rPr>
        <w:t>doi</w:t>
      </w:r>
      <w:proofErr w:type="spellEnd"/>
      <w:r w:rsidR="00B85F59" w:rsidRPr="00DE100D">
        <w:rPr>
          <w:rStyle w:val="af2"/>
        </w:rPr>
        <w:t>.</w:t>
      </w:r>
      <w:r w:rsidR="00B85F59" w:rsidRPr="00DE100D">
        <w:rPr>
          <w:rStyle w:val="af2"/>
          <w:lang w:val="en-US"/>
        </w:rPr>
        <w:t>org</w:t>
      </w:r>
      <w:r w:rsidR="00B85F59" w:rsidRPr="00DE100D">
        <w:rPr>
          <w:rStyle w:val="af2"/>
        </w:rPr>
        <w:t>/10.17816/DD634972-4348472</w:t>
      </w:r>
    </w:hyperlink>
    <w:r w:rsidR="00B85F59" w:rsidRPr="00B85F5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6CF"/>
    <w:multiLevelType w:val="hybridMultilevel"/>
    <w:tmpl w:val="02E67410"/>
    <w:lvl w:ilvl="0" w:tplc="FCBE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0"/>
    <w:multiLevelType w:val="hybridMultilevel"/>
    <w:tmpl w:val="8C5AE1B8"/>
    <w:lvl w:ilvl="0" w:tplc="FC8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840"/>
    <w:multiLevelType w:val="hybridMultilevel"/>
    <w:tmpl w:val="0750C4A6"/>
    <w:lvl w:ilvl="0" w:tplc="88581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942"/>
    <w:multiLevelType w:val="hybridMultilevel"/>
    <w:tmpl w:val="FD56831C"/>
    <w:lvl w:ilvl="0" w:tplc="5E1E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60EC"/>
    <w:multiLevelType w:val="hybridMultilevel"/>
    <w:tmpl w:val="2BFAA280"/>
    <w:lvl w:ilvl="0" w:tplc="748CB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C02"/>
    <w:multiLevelType w:val="hybridMultilevel"/>
    <w:tmpl w:val="31503E06"/>
    <w:lvl w:ilvl="0" w:tplc="F16AF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66C7"/>
    <w:multiLevelType w:val="hybridMultilevel"/>
    <w:tmpl w:val="0F64DE10"/>
    <w:lvl w:ilvl="0" w:tplc="A28EA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576A"/>
    <w:multiLevelType w:val="hybridMultilevel"/>
    <w:tmpl w:val="863E9B40"/>
    <w:lvl w:ilvl="0" w:tplc="8BA6F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260E"/>
    <w:multiLevelType w:val="hybridMultilevel"/>
    <w:tmpl w:val="F5EAAD32"/>
    <w:lvl w:ilvl="0" w:tplc="07A0D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61D"/>
    <w:multiLevelType w:val="hybridMultilevel"/>
    <w:tmpl w:val="A8A69792"/>
    <w:lvl w:ilvl="0" w:tplc="3884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48FA"/>
    <w:multiLevelType w:val="hybridMultilevel"/>
    <w:tmpl w:val="DDE42EA0"/>
    <w:lvl w:ilvl="0" w:tplc="FAB6D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E6EF8"/>
    <w:multiLevelType w:val="hybridMultilevel"/>
    <w:tmpl w:val="0BE6CB0E"/>
    <w:lvl w:ilvl="0" w:tplc="8526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C1E74"/>
    <w:multiLevelType w:val="hybridMultilevel"/>
    <w:tmpl w:val="D71AB636"/>
    <w:lvl w:ilvl="0" w:tplc="E4E6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0830"/>
    <w:multiLevelType w:val="hybridMultilevel"/>
    <w:tmpl w:val="A9BABF28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31E72"/>
    <w:multiLevelType w:val="hybridMultilevel"/>
    <w:tmpl w:val="DB48DF6C"/>
    <w:lvl w:ilvl="0" w:tplc="D346E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1150"/>
    <w:multiLevelType w:val="hybridMultilevel"/>
    <w:tmpl w:val="22D23F7C"/>
    <w:lvl w:ilvl="0" w:tplc="DA00A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6710"/>
    <w:multiLevelType w:val="hybridMultilevel"/>
    <w:tmpl w:val="34D2C8A8"/>
    <w:lvl w:ilvl="0" w:tplc="7D2EA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F30"/>
    <w:multiLevelType w:val="hybridMultilevel"/>
    <w:tmpl w:val="6F5C91D4"/>
    <w:lvl w:ilvl="0" w:tplc="E71A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B200C"/>
    <w:multiLevelType w:val="hybridMultilevel"/>
    <w:tmpl w:val="92682650"/>
    <w:lvl w:ilvl="0" w:tplc="5576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3E64"/>
    <w:multiLevelType w:val="hybridMultilevel"/>
    <w:tmpl w:val="F716B0A8"/>
    <w:lvl w:ilvl="0" w:tplc="AE94D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E35C6"/>
    <w:multiLevelType w:val="hybridMultilevel"/>
    <w:tmpl w:val="C0F4DB5A"/>
    <w:lvl w:ilvl="0" w:tplc="9342E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A5FA6"/>
    <w:multiLevelType w:val="hybridMultilevel"/>
    <w:tmpl w:val="E462FF04"/>
    <w:lvl w:ilvl="0" w:tplc="E212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2081"/>
    <w:multiLevelType w:val="hybridMultilevel"/>
    <w:tmpl w:val="A46A130A"/>
    <w:lvl w:ilvl="0" w:tplc="31E6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9DA"/>
    <w:multiLevelType w:val="hybridMultilevel"/>
    <w:tmpl w:val="4260C76E"/>
    <w:lvl w:ilvl="0" w:tplc="614E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D7E5D"/>
    <w:multiLevelType w:val="hybridMultilevel"/>
    <w:tmpl w:val="9246F6A8"/>
    <w:lvl w:ilvl="0" w:tplc="402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97E0E"/>
    <w:multiLevelType w:val="hybridMultilevel"/>
    <w:tmpl w:val="625AB614"/>
    <w:lvl w:ilvl="0" w:tplc="D61C9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73F0"/>
    <w:multiLevelType w:val="hybridMultilevel"/>
    <w:tmpl w:val="6F08E602"/>
    <w:lvl w:ilvl="0" w:tplc="90C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11D36"/>
    <w:multiLevelType w:val="hybridMultilevel"/>
    <w:tmpl w:val="42B6CC98"/>
    <w:lvl w:ilvl="0" w:tplc="9052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30781"/>
    <w:multiLevelType w:val="hybridMultilevel"/>
    <w:tmpl w:val="64D49DCC"/>
    <w:lvl w:ilvl="0" w:tplc="0E0E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A34D8"/>
    <w:multiLevelType w:val="hybridMultilevel"/>
    <w:tmpl w:val="E152BAC4"/>
    <w:lvl w:ilvl="0" w:tplc="6342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56C2F"/>
    <w:multiLevelType w:val="hybridMultilevel"/>
    <w:tmpl w:val="9EFE04BA"/>
    <w:lvl w:ilvl="0" w:tplc="A0F0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749C"/>
    <w:multiLevelType w:val="hybridMultilevel"/>
    <w:tmpl w:val="72E6549E"/>
    <w:lvl w:ilvl="0" w:tplc="966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71D9"/>
    <w:multiLevelType w:val="hybridMultilevel"/>
    <w:tmpl w:val="4C3AAB88"/>
    <w:lvl w:ilvl="0" w:tplc="0CA8D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14EBC"/>
    <w:multiLevelType w:val="hybridMultilevel"/>
    <w:tmpl w:val="A774B718"/>
    <w:lvl w:ilvl="0" w:tplc="9ACCF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37"/>
    <w:multiLevelType w:val="hybridMultilevel"/>
    <w:tmpl w:val="34C85B5C"/>
    <w:lvl w:ilvl="0" w:tplc="74320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39808">
    <w:abstractNumId w:val="22"/>
  </w:num>
  <w:num w:numId="2" w16cid:durableId="947002696">
    <w:abstractNumId w:val="4"/>
  </w:num>
  <w:num w:numId="3" w16cid:durableId="108818588">
    <w:abstractNumId w:val="29"/>
  </w:num>
  <w:num w:numId="4" w16cid:durableId="1852985197">
    <w:abstractNumId w:val="19"/>
  </w:num>
  <w:num w:numId="5" w16cid:durableId="1509446970">
    <w:abstractNumId w:val="17"/>
  </w:num>
  <w:num w:numId="6" w16cid:durableId="1807626911">
    <w:abstractNumId w:val="12"/>
  </w:num>
  <w:num w:numId="7" w16cid:durableId="113912990">
    <w:abstractNumId w:val="21"/>
  </w:num>
  <w:num w:numId="8" w16cid:durableId="379868352">
    <w:abstractNumId w:val="0"/>
  </w:num>
  <w:num w:numId="9" w16cid:durableId="689988336">
    <w:abstractNumId w:val="31"/>
  </w:num>
  <w:num w:numId="10" w16cid:durableId="800074711">
    <w:abstractNumId w:val="1"/>
  </w:num>
  <w:num w:numId="11" w16cid:durableId="1674717765">
    <w:abstractNumId w:val="23"/>
  </w:num>
  <w:num w:numId="12" w16cid:durableId="2103989719">
    <w:abstractNumId w:val="30"/>
  </w:num>
  <w:num w:numId="13" w16cid:durableId="1499271744">
    <w:abstractNumId w:val="26"/>
  </w:num>
  <w:num w:numId="14" w16cid:durableId="364063494">
    <w:abstractNumId w:val="13"/>
  </w:num>
  <w:num w:numId="15" w16cid:durableId="140973077">
    <w:abstractNumId w:val="11"/>
  </w:num>
  <w:num w:numId="16" w16cid:durableId="44960287">
    <w:abstractNumId w:val="33"/>
  </w:num>
  <w:num w:numId="17" w16cid:durableId="898321381">
    <w:abstractNumId w:val="20"/>
  </w:num>
  <w:num w:numId="18" w16cid:durableId="2119637277">
    <w:abstractNumId w:val="7"/>
  </w:num>
  <w:num w:numId="19" w16cid:durableId="350959978">
    <w:abstractNumId w:val="27"/>
  </w:num>
  <w:num w:numId="20" w16cid:durableId="1964461751">
    <w:abstractNumId w:val="3"/>
  </w:num>
  <w:num w:numId="21" w16cid:durableId="265232898">
    <w:abstractNumId w:val="25"/>
  </w:num>
  <w:num w:numId="22" w16cid:durableId="1327590157">
    <w:abstractNumId w:val="5"/>
  </w:num>
  <w:num w:numId="23" w16cid:durableId="833036524">
    <w:abstractNumId w:val="16"/>
  </w:num>
  <w:num w:numId="24" w16cid:durableId="207493819">
    <w:abstractNumId w:val="8"/>
  </w:num>
  <w:num w:numId="25" w16cid:durableId="485123316">
    <w:abstractNumId w:val="9"/>
  </w:num>
  <w:num w:numId="26" w16cid:durableId="1893495912">
    <w:abstractNumId w:val="6"/>
  </w:num>
  <w:num w:numId="27" w16cid:durableId="141508657">
    <w:abstractNumId w:val="18"/>
  </w:num>
  <w:num w:numId="28" w16cid:durableId="449976777">
    <w:abstractNumId w:val="32"/>
  </w:num>
  <w:num w:numId="29" w16cid:durableId="1608849867">
    <w:abstractNumId w:val="10"/>
  </w:num>
  <w:num w:numId="30" w16cid:durableId="395127505">
    <w:abstractNumId w:val="24"/>
  </w:num>
  <w:num w:numId="31" w16cid:durableId="1685280986">
    <w:abstractNumId w:val="34"/>
  </w:num>
  <w:num w:numId="32" w16cid:durableId="1008025421">
    <w:abstractNumId w:val="14"/>
  </w:num>
  <w:num w:numId="33" w16cid:durableId="1392581523">
    <w:abstractNumId w:val="2"/>
  </w:num>
  <w:num w:numId="34" w16cid:durableId="638268995">
    <w:abstractNumId w:val="28"/>
  </w:num>
  <w:num w:numId="35" w16cid:durableId="1653027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0"/>
    <w:rsid w:val="000172E5"/>
    <w:rsid w:val="00073613"/>
    <w:rsid w:val="000A5C75"/>
    <w:rsid w:val="001B2200"/>
    <w:rsid w:val="00221BA8"/>
    <w:rsid w:val="00444397"/>
    <w:rsid w:val="0044593A"/>
    <w:rsid w:val="004E08FB"/>
    <w:rsid w:val="00567C73"/>
    <w:rsid w:val="00660D1C"/>
    <w:rsid w:val="00952736"/>
    <w:rsid w:val="00B85F59"/>
    <w:rsid w:val="00CB1862"/>
    <w:rsid w:val="00CC7745"/>
    <w:rsid w:val="00D9782F"/>
    <w:rsid w:val="00F0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4986"/>
  <w15:chartTrackingRefBased/>
  <w15:docId w15:val="{DE04AB35-C650-4F43-9C17-6442553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E5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1B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2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2200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20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200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B2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200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1B22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220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1B2200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1B2200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44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2106</Words>
  <Characters>12006</Characters>
  <Application>Microsoft Office Word</Application>
  <DocSecurity>0</DocSecurity>
  <Lines>100</Lines>
  <Paragraphs>28</Paragraphs>
  <ScaleCrop>false</ScaleCrop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4</cp:revision>
  <dcterms:created xsi:type="dcterms:W3CDTF">2025-06-23T15:28:00Z</dcterms:created>
  <dcterms:modified xsi:type="dcterms:W3CDTF">2025-06-23T15:29:00Z</dcterms:modified>
</cp:coreProperties>
</file>