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57EE" w14:textId="5AACF1A7" w:rsidR="00EA5BCE" w:rsidRDefault="00F86D4A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теле</w:t>
      </w:r>
      <w:r w:rsidR="00565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технологий в оказании помощи нефрологическим пациентам на всех этапах лечения.</w:t>
      </w:r>
    </w:p>
    <w:p w14:paraId="45A41436" w14:textId="77777777" w:rsidR="00EA5BCE" w:rsidRDefault="00EA5BCE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831C9" w14:textId="77777777" w:rsidR="00EA5BCE" w:rsidRDefault="00F86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Дорофеева Е.Г., </w:t>
      </w:r>
    </w:p>
    <w:p w14:paraId="498AC183" w14:textId="77777777" w:rsidR="00EA5BCE" w:rsidRDefault="00F86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 нефролог, терапевт, Московский городской научно-практический центр нефрологии и патологии трансплантированной почки, Государственное бюджетное учреждение здравоохранения Государственная клиническая больница №52 Департамента здравоохранения Москвы, Москва, Россия</w:t>
      </w:r>
    </w:p>
    <w:p w14:paraId="6B2EA218" w14:textId="77777777" w:rsidR="00EA5BCE" w:rsidRDefault="00F86D4A">
      <w:pPr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fd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Платформа «Теленефроцентр» создана при поддержке ДЗМ Москвы, Московского центра инновационных технологий и Комплекса социального развития Москвы (грантовый проект N 25-12-1/22 на создание цифровой экосистемы московского нефрологического кластера для продвижения альтернативных моделей оказания нефрологической помощи на дому пациентам с ХБП IIIb-IV-V стадий и реципиентам донорских почек.</w:t>
      </w:r>
    </w:p>
    <w:p w14:paraId="770D54F2" w14:textId="77777777" w:rsidR="00EA5BCE" w:rsidRDefault="00EA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80CD36" w14:textId="1EDF68B9" w:rsidR="00EA5BCE" w:rsidRDefault="00F86D4A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Обоснование: Оказание высококачественной и доступной медицинской помощи пациентам, которые из-за большого расстояния или по другим причинам не имеют возможности посещать медицинский центр. Обеспечение и улучшение качества двусторонней связи между пациентом и медицинским персоналом.</w:t>
      </w:r>
      <w:r w:rsidR="003A4A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Данная работа происходит на портале: https://nefrocentr.ru</w:t>
      </w:r>
    </w:p>
    <w:p w14:paraId="454E4BDD" w14:textId="77777777" w:rsidR="00EA5BCE" w:rsidRDefault="00F86D4A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эффективности и улучшения качества оказания медицинской помощи пациентам нефрологического профиля: пациентам с ХБП 3Б-5 ст (додиализных стадий); пациентам, находящимся на заместительной почечной терапии (ГД, ПД); реципиентам почечного трансплантата для сокращения экстренных госпитализаций, снижения смертности и повышение общей выживаемости, разработка и внедрение телереабилитации, повышение качества жизни.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Методы</w:t>
      </w:r>
    </w:p>
    <w:p w14:paraId="67C1467B" w14:textId="77777777" w:rsidR="00EA5BCE" w:rsidRDefault="00F86D4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и совершенствование существующих он-лайн платформ для дистанционного наблюдения: видео консультации, использование анкетирования и шкал оценки состояния, коррекции терапии, диализной программы, групповой телереабилитации;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создание обучающих видео-уроков для пациентов с целью повышения грамотности с дальнейшим формированием библиотеки знаний обучающих правилам жизни, питания, самоконтроля, физической активности, гигиены, терапии, проведения процедур перитонеального диализа.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разработка телепатронажа и сопровождения пациентов на ПД.</w:t>
      </w:r>
    </w:p>
    <w:p w14:paraId="3DE7F0B2" w14:textId="64BE4737" w:rsidR="00EA5BCE" w:rsidRDefault="00F86D4A" w:rsidP="00B07A39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Результаты</w:t>
      </w:r>
      <w:r w:rsidR="00790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3A4A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554315" w:rsidRPr="003A4A03">
        <w:rPr>
          <w:rFonts w:ascii="Times New Roman" w:hAnsi="Times New Roman" w:cs="Times New Roman"/>
          <w:bCs/>
          <w:color w:val="000000"/>
          <w:sz w:val="24"/>
          <w:szCs w:val="24"/>
        </w:rPr>
        <w:t>Система представляет собой многоплановую информационную базу, позволяющую собирать данные о самочувствии пациента за пределами медицинского учреждения.</w:t>
      </w:r>
      <w:r w:rsidR="00790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0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 дистанционным наблюдением находится более 150 пациентов после АТП, 80 пациентов на ПД, 25 пациентов на ГД, 23 пациента на додиализных стадиях ХБП.</w:t>
      </w:r>
      <w:r w:rsidR="00790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554315" w:rsidRPr="003A4A03">
        <w:rPr>
          <w:rFonts w:ascii="Times New Roman" w:hAnsi="Times New Roman" w:cs="Times New Roman"/>
          <w:bCs/>
          <w:color w:val="000000"/>
          <w:sz w:val="24"/>
          <w:szCs w:val="24"/>
        </w:rPr>
        <w:t>Система дает возможность врачу корректировать назначение препаратов, экстренно реагировать на проблемы пациентов, а также задать правильный алгоритм поведения в критической ситуации</w:t>
      </w:r>
      <w:r w:rsidR="003A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54315" w:rsidRPr="003A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Мониторинг базируется на опросниках, на которые пациент </w:t>
      </w:r>
      <w:r w:rsidR="00554315" w:rsidRPr="003A4A0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отвечает по расписанию, заданному врачом. Анкета содержит набор симптомов, которые пациент выбирает с учетом интенсивности цвета. Все ответы образуют «тепловую карту» самочувствия, при взгляде на которую врач дистанционно видит, есть ли у пациента проблемы, и какие. В результате врач обоснованно принимает решения о дальнейшем лечении.</w:t>
      </w:r>
      <w:r w:rsidR="003A4A0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54315" w:rsidRPr="003A4A03">
        <w:rPr>
          <w:rFonts w:ascii="Times New Roman" w:hAnsi="Times New Roman" w:cs="Times New Roman"/>
          <w:bCs/>
          <w:color w:val="000000"/>
          <w:sz w:val="24"/>
          <w:szCs w:val="24"/>
        </w:rPr>
        <w:t>Ресурс позволяет пациентам ознакомится с обширным информационным материалом</w:t>
      </w:r>
      <w:r w:rsidR="003A4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онлайн дистанционные консультации для пациентов - телеобразовательные мероприятия для групп пациентов нефрологического профиля в зависимости от типа патологии с разработкой видео-уроков</w:t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врачей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основным проблемам и побочным явлениям.</w:t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Дистанционно проводится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проводимой терапии (лекарственной, заместительной почечной терапии); с целью коррекции, отмены и подбора лекарственной терапии.</w:t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Еженедельно в онлайн формате проходят занятия по физической реабилитации, а также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07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диетическому сопровождению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диетическому питанию.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Заключение: Создание цифровой экосистемы московского нефрологического кластера для оказания телеподдержки всем пациентам нефрологического профиля играет огромное значение в повседневной жизни. Возможность получения качественной своевременной помощи позволяет осуществлять качественный контроль за состоянием пациентов. Наличие анкетирования, в том числе по оценке психологического состояния пациентов, позволяет на раннем этапе выявлять осложнения после коррекции иммуносупрессивной терапии и повышать приверженность пациентов к терапии. Проведение онлайн пациентских школ по модификации питания и физической активности позволяет снижать тревожность и улучшать настроение, повышать физическую активность, </w:t>
      </w:r>
      <w:r w:rsidR="00FE38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формировать правильные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пищев</w:t>
      </w:r>
      <w:r w:rsidR="00B07A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ые привычки и </w:t>
      </w:r>
      <w:r w:rsidR="00FE38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корректировать рацион питания</w:t>
      </w:r>
      <w:r w:rsidR="00B07A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данные выводы получены на основании еженедельного мониторинга дневников пациентов.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p w14:paraId="0609B6A8" w14:textId="77777777" w:rsidR="00EA5BCE" w:rsidRDefault="00F86D4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теленефроцентр, телемедицинские технологии, хроническая болезнь почки, трансплантация почки, гемодиализ, перитонеальный диализ.</w:t>
      </w:r>
    </w:p>
    <w:p w14:paraId="3DB10447" w14:textId="77777777" w:rsidR="00EA5BCE" w:rsidRDefault="00EA5BC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DE8F1" w14:textId="77777777" w:rsidR="00EA5BCE" w:rsidRDefault="00EA5B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DE3487" w14:textId="23747CE8" w:rsidR="00EA5BCE" w:rsidRDefault="00F86D4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role of tele</w:t>
      </w:r>
      <w:r w:rsidR="00FE38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technologies in assisting nephrological patients at all stages of treatment.</w:t>
      </w:r>
    </w:p>
    <w:p w14:paraId="2C91E3C1" w14:textId="77777777" w:rsidR="00EA5BCE" w:rsidRDefault="00F86D4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Dorofeeva E., 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ephrologist, therapist, Moscow City Scientific and Practical Center for Nephrology and Transplanted Kidney Pathology, State Budgetary Institution of Healthcare State Clinical Hospital No. 52 of the Moscow Health Department, Moscow, Russia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br/>
      </w:r>
    </w:p>
    <w:p w14:paraId="73DB2C3E" w14:textId="77777777" w:rsidR="00EA5BCE" w:rsidRDefault="00F86D4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Keywords: telenephrocenter, telemedicine technologies, chronic kidney disease, kidney transplantation, hemodialysis, peritoneal dialysis.</w:t>
      </w:r>
    </w:p>
    <w:p w14:paraId="3A3D2B27" w14:textId="77777777" w:rsidR="00EA5BCE" w:rsidRDefault="00F86D4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Авторы:</w:t>
      </w:r>
    </w:p>
    <w:p w14:paraId="57AD4EE8" w14:textId="77777777" w:rsidR="00EA5BCE" w:rsidRDefault="00F86D4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Дорофеева Екатерина Григорьевна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Dorofeeva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Ekaterina</w:t>
      </w:r>
    </w:p>
    <w:sectPr w:rsidR="00EA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A7A3" w14:textId="77777777" w:rsidR="007D7DF8" w:rsidRDefault="007D7DF8">
      <w:pPr>
        <w:spacing w:after="0" w:line="240" w:lineRule="auto"/>
      </w:pPr>
      <w:r>
        <w:separator/>
      </w:r>
    </w:p>
  </w:endnote>
  <w:endnote w:type="continuationSeparator" w:id="0">
    <w:p w14:paraId="08B2301C" w14:textId="77777777" w:rsidR="007D7DF8" w:rsidRDefault="007D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7FCF" w14:textId="77777777" w:rsidR="007D7DF8" w:rsidRDefault="007D7DF8">
      <w:pPr>
        <w:spacing w:after="0" w:line="240" w:lineRule="auto"/>
      </w:pPr>
      <w:r>
        <w:separator/>
      </w:r>
    </w:p>
  </w:footnote>
  <w:footnote w:type="continuationSeparator" w:id="0">
    <w:p w14:paraId="5299FFEC" w14:textId="77777777" w:rsidR="007D7DF8" w:rsidRDefault="007D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6991"/>
    <w:multiLevelType w:val="hybridMultilevel"/>
    <w:tmpl w:val="5DA26746"/>
    <w:lvl w:ilvl="0" w:tplc="5F06E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6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EB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68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2E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6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C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4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11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E"/>
    <w:rsid w:val="00316F2E"/>
    <w:rsid w:val="003A4A03"/>
    <w:rsid w:val="00554315"/>
    <w:rsid w:val="00565031"/>
    <w:rsid w:val="007905E6"/>
    <w:rsid w:val="007D7DF8"/>
    <w:rsid w:val="00B07A39"/>
    <w:rsid w:val="00B87E48"/>
    <w:rsid w:val="00C90BB1"/>
    <w:rsid w:val="00EA5BCE"/>
    <w:rsid w:val="00F86D4A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3E0E"/>
  <w15:docId w15:val="{FA6D16BC-E3AF-44AA-B4F7-4D61268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9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D950-5EAF-48FE-9060-7A48E9BB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Анна Гончар</cp:lastModifiedBy>
  <cp:revision>2</cp:revision>
  <dcterms:created xsi:type="dcterms:W3CDTF">2023-04-21T08:18:00Z</dcterms:created>
  <dcterms:modified xsi:type="dcterms:W3CDTF">2023-04-21T08:18:00Z</dcterms:modified>
</cp:coreProperties>
</file>